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BEA7F1">
      <w:pPr>
        <w:pStyle w:val="16"/>
        <w:ind w:left="0" w:leftChars="0" w:firstLine="0" w:firstLineChars="0"/>
        <w:rPr>
          <w:color w:val="auto"/>
          <w:highlight w:val="none"/>
        </w:rPr>
      </w:pPr>
      <w:bookmarkStart w:id="0" w:name="_Toc15058843"/>
      <w:bookmarkStart w:id="1" w:name="_Toc246996898"/>
      <w:bookmarkStart w:id="2" w:name="_Toc506107265"/>
      <w:bookmarkStart w:id="3" w:name="_Toc461631222"/>
      <w:bookmarkStart w:id="4" w:name="_Toc247085669"/>
      <w:bookmarkStart w:id="5" w:name="_Toc296602400"/>
      <w:bookmarkStart w:id="6" w:name="_Toc324404811"/>
      <w:bookmarkStart w:id="7" w:name="OLE_LINK3"/>
      <w:bookmarkStart w:id="8" w:name="OLE_LINK1"/>
      <w:bookmarkStart w:id="9" w:name="OLE_LINK4"/>
      <w:bookmarkStart w:id="10" w:name="OLE_LINK2"/>
      <w:bookmarkStart w:id="11" w:name="OLE_LINK5"/>
    </w:p>
    <w:p w14:paraId="2A2621CC">
      <w:pPr>
        <w:pStyle w:val="16"/>
        <w:ind w:left="0" w:leftChars="0" w:firstLine="0" w:firstLineChars="0"/>
        <w:jc w:val="center"/>
        <w:rPr>
          <w:color w:val="auto"/>
          <w:highlight w:val="none"/>
        </w:rPr>
      </w:pPr>
      <w:r>
        <w:rPr>
          <w:rFonts w:hint="eastAsia" w:hAnsi="宋体" w:cs="宋体"/>
          <w:b/>
          <w:color w:val="auto"/>
          <w:kern w:val="0"/>
          <w:sz w:val="56"/>
          <w:szCs w:val="56"/>
          <w:highlight w:val="none"/>
          <w:lang w:eastAsia="zh-CN"/>
        </w:rPr>
        <w:t>滁州至南京城际铁路（滁州段）多站点廉洁主题设计施工一体化项目</w:t>
      </w:r>
    </w:p>
    <w:p w14:paraId="6386BAEC">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6"/>
        <w:rPr>
          <w:color w:val="auto"/>
          <w:highlight w:val="none"/>
        </w:rPr>
      </w:pPr>
    </w:p>
    <w:p w14:paraId="691FE4D6">
      <w:pPr>
        <w:rPr>
          <w:color w:val="auto"/>
          <w:highlight w:val="none"/>
        </w:rPr>
      </w:pPr>
    </w:p>
    <w:p w14:paraId="7E411827">
      <w:pPr>
        <w:pStyle w:val="16"/>
        <w:rPr>
          <w:color w:val="auto"/>
          <w:highlight w:val="none"/>
        </w:rPr>
      </w:pPr>
    </w:p>
    <w:p w14:paraId="6CF62471">
      <w:pPr>
        <w:rPr>
          <w:color w:val="auto"/>
          <w:highlight w:val="none"/>
        </w:rPr>
      </w:pPr>
    </w:p>
    <w:p w14:paraId="276FE2C2">
      <w:pPr>
        <w:pStyle w:val="16"/>
        <w:rPr>
          <w:color w:val="auto"/>
          <w:highlight w:val="none"/>
        </w:rPr>
      </w:pPr>
    </w:p>
    <w:p w14:paraId="6EBADFFD">
      <w:pPr>
        <w:rPr>
          <w:color w:val="auto"/>
          <w:highlight w:val="none"/>
        </w:rPr>
      </w:pPr>
    </w:p>
    <w:p w14:paraId="57C971B3">
      <w:pPr>
        <w:pStyle w:val="16"/>
        <w:rPr>
          <w:color w:val="auto"/>
          <w:highlight w:val="none"/>
        </w:rPr>
      </w:pPr>
    </w:p>
    <w:p w14:paraId="00CEC72B">
      <w:pPr>
        <w:rPr>
          <w:color w:val="auto"/>
          <w:highlight w:val="none"/>
        </w:rPr>
      </w:pPr>
    </w:p>
    <w:p w14:paraId="0FB3EFCA">
      <w:pPr>
        <w:pStyle w:val="16"/>
        <w:rPr>
          <w:color w:val="auto"/>
          <w:highlight w:val="none"/>
        </w:rPr>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color w:val="auto"/>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color w:val="auto"/>
          <w:sz w:val="30"/>
          <w:szCs w:val="30"/>
          <w:highlight w:val="none"/>
          <w:u w:val="single"/>
          <w:lang w:eastAsia="zh-CN"/>
        </w:rPr>
        <w:t>滁州市滁宁城际铁路开发建设有限公司</w:t>
      </w:r>
      <w:r>
        <w:rPr>
          <w:rFonts w:hint="eastAsia" w:ascii="宋体" w:cs="Times New Roman"/>
          <w:color w:val="auto"/>
          <w:sz w:val="30"/>
          <w:szCs w:val="30"/>
          <w:highlight w:val="none"/>
          <w:u w:val="single"/>
          <w:lang w:val="en-US" w:eastAsia="zh-CN"/>
        </w:rPr>
        <w:t xml:space="preserve"> </w:t>
      </w:r>
    </w:p>
    <w:p w14:paraId="2C39D907">
      <w:pPr>
        <w:spacing w:line="800" w:lineRule="exact"/>
        <w:ind w:firstLine="600" w:firstLineChars="200"/>
        <w:rPr>
          <w:bCs/>
          <w:color w:val="auto"/>
          <w:spacing w:val="-20"/>
          <w:sz w:val="30"/>
          <w:szCs w:val="30"/>
          <w:highlight w:val="none"/>
          <w:u w:val="thick"/>
        </w:rPr>
      </w:pPr>
      <w:r>
        <w:rPr>
          <w:rFonts w:hint="eastAsia"/>
          <w:bCs/>
          <w:color w:val="auto"/>
          <w:sz w:val="30"/>
          <w:szCs w:val="30"/>
          <w:highlight w:val="none"/>
        </w:rPr>
        <w:t>招标代理机构：</w:t>
      </w:r>
      <w:r>
        <w:rPr>
          <w:rFonts w:hint="eastAsia" w:ascii="宋体"/>
          <w:color w:val="auto"/>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7</w:t>
      </w:r>
      <w:r>
        <w:rPr>
          <w:rFonts w:hint="eastAsia" w:ascii="宋体" w:hAnsi="宋体"/>
          <w:color w:val="auto"/>
          <w:sz w:val="30"/>
          <w:szCs w:val="30"/>
          <w:highlight w:val="none"/>
        </w:rPr>
        <w:t>月</w:t>
      </w:r>
    </w:p>
    <w:p w14:paraId="68344BF2">
      <w:pPr>
        <w:jc w:val="center"/>
        <w:rPr>
          <w:color w:val="auto"/>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color w:val="auto"/>
          <w:sz w:val="44"/>
          <w:szCs w:val="44"/>
          <w:highlight w:val="none"/>
        </w:rPr>
      </w:pPr>
    </w:p>
    <w:p w14:paraId="09796EC2">
      <w:pPr>
        <w:spacing w:line="700" w:lineRule="exact"/>
        <w:jc w:val="center"/>
        <w:rPr>
          <w:color w:val="auto"/>
          <w:sz w:val="44"/>
          <w:szCs w:val="44"/>
          <w:highlight w:val="none"/>
        </w:rPr>
      </w:pPr>
      <w:r>
        <w:rPr>
          <w:rFonts w:hint="eastAsia"/>
          <w:color w:val="auto"/>
          <w:sz w:val="44"/>
          <w:szCs w:val="44"/>
          <w:highlight w:val="none"/>
        </w:rPr>
        <w:t>目   录</w:t>
      </w:r>
      <w:bookmarkEnd w:id="0"/>
      <w:bookmarkEnd w:id="1"/>
      <w:bookmarkEnd w:id="2"/>
      <w:bookmarkEnd w:id="3"/>
      <w:bookmarkEnd w:id="4"/>
      <w:bookmarkEnd w:id="5"/>
      <w:bookmarkEnd w:id="6"/>
      <w:bookmarkStart w:id="12" w:name="_Toc152042287"/>
      <w:bookmarkStart w:id="13" w:name="_Toc144974479"/>
      <w:bookmarkStart w:id="14" w:name="_Toc152045511"/>
      <w:bookmarkStart w:id="15" w:name="_Toc179632527"/>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第三章  资格审查办法……………………………………………………………</w:t>
      </w:r>
      <w:r>
        <w:rPr>
          <w:rFonts w:hint="eastAsia" w:ascii="宋体" w:hAnsi="宋体" w:cs="宋体"/>
          <w:color w:val="auto"/>
          <w:kern w:val="0"/>
          <w:sz w:val="24"/>
          <w:szCs w:val="24"/>
          <w:highlight w:val="none"/>
          <w:u w:color="000000"/>
          <w:lang w:val="en-US" w:eastAsia="zh-CN" w:bidi="ar"/>
        </w:rPr>
        <w:t>15</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第四章  评标办法…………………………………………………………………1</w:t>
      </w:r>
      <w:r>
        <w:rPr>
          <w:rFonts w:hint="eastAsia" w:ascii="宋体" w:hAnsi="宋体" w:cs="宋体"/>
          <w:color w:val="auto"/>
          <w:kern w:val="0"/>
          <w:sz w:val="24"/>
          <w:szCs w:val="24"/>
          <w:highlight w:val="none"/>
          <w:u w:color="000000"/>
          <w:lang w:val="en-US" w:eastAsia="zh-CN" w:bidi="ar"/>
        </w:rPr>
        <w:t>6</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第五章  采购需求…………………………………………………………………</w:t>
      </w:r>
      <w:r>
        <w:rPr>
          <w:rFonts w:hint="eastAsia" w:ascii="宋体" w:hAnsi="宋体" w:cs="宋体"/>
          <w:color w:val="auto"/>
          <w:kern w:val="0"/>
          <w:sz w:val="24"/>
          <w:szCs w:val="24"/>
          <w:highlight w:val="none"/>
          <w:u w:color="000000"/>
          <w:lang w:val="en-US" w:eastAsia="zh-CN" w:bidi="ar"/>
        </w:rPr>
        <w:t>23</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第六章  合同条款及格式…………………………………………………………2</w:t>
      </w:r>
      <w:r>
        <w:rPr>
          <w:rFonts w:hint="eastAsia" w:ascii="宋体" w:hAnsi="宋体" w:cs="宋体"/>
          <w:color w:val="auto"/>
          <w:kern w:val="0"/>
          <w:sz w:val="24"/>
          <w:szCs w:val="24"/>
          <w:highlight w:val="none"/>
          <w:u w:color="000000"/>
          <w:lang w:val="en-US" w:eastAsia="zh-CN" w:bidi="ar"/>
        </w:rPr>
        <w:t>7</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第七章  投标文件格式……………………………………………………………</w:t>
      </w:r>
      <w:r>
        <w:rPr>
          <w:rFonts w:hint="eastAsia" w:ascii="宋体" w:hAnsi="宋体" w:cs="宋体"/>
          <w:color w:val="auto"/>
          <w:kern w:val="0"/>
          <w:sz w:val="24"/>
          <w:szCs w:val="24"/>
          <w:highlight w:val="none"/>
          <w:u w:color="000000"/>
          <w:lang w:val="en-US" w:eastAsia="zh-CN" w:bidi="ar"/>
        </w:rPr>
        <w:t>33</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第八章  招标人、招标代理机构对本招标文件的确认…………………………</w:t>
      </w:r>
      <w:r>
        <w:rPr>
          <w:rFonts w:hint="eastAsia" w:ascii="宋体" w:hAnsi="宋体" w:cs="宋体"/>
          <w:color w:val="auto"/>
          <w:kern w:val="0"/>
          <w:sz w:val="24"/>
          <w:szCs w:val="24"/>
          <w:highlight w:val="none"/>
          <w:u w:color="000000"/>
          <w:lang w:val="en-US" w:eastAsia="zh-CN" w:bidi="ar"/>
        </w:rPr>
        <w:t>45</w:t>
      </w:r>
    </w:p>
    <w:p w14:paraId="6F3E9F9B">
      <w:pPr>
        <w:pStyle w:val="16"/>
        <w:spacing w:line="700" w:lineRule="exact"/>
        <w:ind w:left="0" w:leftChars="0" w:firstLine="480"/>
        <w:jc w:val="left"/>
        <w:rPr>
          <w:color w:val="auto"/>
          <w:sz w:val="24"/>
          <w:szCs w:val="24"/>
          <w:highlight w:val="none"/>
        </w:rPr>
      </w:pPr>
    </w:p>
    <w:p w14:paraId="3004C8EC">
      <w:pPr>
        <w:pStyle w:val="45"/>
        <w:spacing w:line="700" w:lineRule="exact"/>
        <w:jc w:val="left"/>
        <w:rPr>
          <w:color w:val="auto"/>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5"/>
        <w:spacing w:beforeLines="50" w:afterLines="50" w:line="440" w:lineRule="exact"/>
        <w:rPr>
          <w:rFonts w:hint="eastAsia"/>
          <w:bCs/>
          <w:color w:val="auto"/>
          <w:szCs w:val="32"/>
          <w:highlight w:val="none"/>
          <w:lang w:val="en-US"/>
        </w:rPr>
      </w:pPr>
      <w:bookmarkStart w:id="16" w:name="_Toc506107267"/>
      <w:bookmarkStart w:id="17" w:name="_Toc35424883"/>
      <w:bookmarkStart w:id="18" w:name="_Toc35425050"/>
      <w:bookmarkStart w:id="19" w:name="_Toc246996916"/>
      <w:bookmarkStart w:id="20" w:name="_Toc152045527"/>
      <w:bookmarkStart w:id="21" w:name="_Toc246996173"/>
      <w:bookmarkStart w:id="22" w:name="_Toc247085687"/>
      <w:bookmarkStart w:id="23" w:name="_Toc144974495"/>
      <w:bookmarkStart w:id="24" w:name="_Toc78803321"/>
      <w:bookmarkStart w:id="25" w:name="_Toc324404813"/>
      <w:bookmarkStart w:id="26" w:name="_Toc152042303"/>
      <w:bookmarkStart w:id="27" w:name="_Toc179632544"/>
      <w:bookmarkStart w:id="28" w:name="_Toc15058844"/>
      <w:r>
        <w:rPr>
          <w:rFonts w:hint="eastAsia"/>
          <w:bCs/>
          <w:color w:val="auto"/>
          <w:szCs w:val="32"/>
          <w:highlight w:val="none"/>
          <w:lang w:eastAsia="zh-CN"/>
        </w:rPr>
        <w:t>第一章</w:t>
      </w:r>
      <w:r>
        <w:rPr>
          <w:rFonts w:hint="eastAsia"/>
          <w:bCs/>
          <w:color w:val="auto"/>
          <w:szCs w:val="32"/>
          <w:highlight w:val="none"/>
          <w:lang w:val="en-US"/>
        </w:rPr>
        <w:t xml:space="preserve">  </w:t>
      </w:r>
      <w:bookmarkStart w:id="29" w:name="_Toc7358"/>
      <w:bookmarkEnd w:id="29"/>
      <w:bookmarkStart w:id="30" w:name="_Toc18980_WPSOffice_Level1"/>
      <w:bookmarkEnd w:id="30"/>
      <w:r>
        <w:rPr>
          <w:rFonts w:hint="eastAsia"/>
          <w:bCs/>
          <w:color w:val="auto"/>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bookmarkStart w:id="31" w:name="_Toc58430305"/>
      <w:bookmarkEnd w:id="31"/>
      <w:bookmarkStart w:id="32" w:name="_Toc28359002"/>
      <w:bookmarkEnd w:id="32"/>
      <w:bookmarkStart w:id="33" w:name="_Toc28359079"/>
      <w:bookmarkEnd w:id="33"/>
      <w:bookmarkStart w:id="34" w:name="_Toc35393621"/>
      <w:bookmarkEnd w:id="34"/>
      <w:bookmarkStart w:id="35" w:name="_Toc35393790"/>
      <w:r>
        <w:rPr>
          <w:rFonts w:hint="eastAsia" w:ascii="宋体" w:hAnsi="宋体" w:eastAsia="宋体" w:cs="宋体"/>
          <w:color w:val="auto"/>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cs="宋体"/>
          <w:color w:val="auto"/>
          <w:kern w:val="0"/>
          <w:sz w:val="24"/>
          <w:szCs w:val="24"/>
          <w:highlight w:val="none"/>
          <w:u w:color="000000"/>
          <w:lang w:val="en-US" w:eastAsia="zh-CN" w:bidi="ar"/>
        </w:rPr>
        <w:t>滁州至南京城际铁路（滁州段）多站点廉洁主题设计施工一体化项目</w:t>
      </w:r>
      <w:r>
        <w:rPr>
          <w:rFonts w:hint="eastAsia" w:ascii="宋体" w:hAnsi="宋体" w:eastAsia="宋体" w:cs="宋体"/>
          <w:color w:val="auto"/>
          <w:kern w:val="0"/>
          <w:sz w:val="24"/>
          <w:szCs w:val="24"/>
          <w:highlight w:val="none"/>
          <w:u w:color="000000"/>
          <w:lang w:val="en-US" w:eastAsia="zh-CN" w:bidi="ar"/>
        </w:rPr>
        <w:t>的潜在投标人应在滁州市滁宁城际铁路开发建设有限公司网站（http://czctgs.cn/）获取招标文件，并于20</w:t>
      </w:r>
      <w:r>
        <w:rPr>
          <w:rFonts w:hint="eastAsia" w:ascii="宋体" w:hAnsi="宋体" w:cs="宋体"/>
          <w:color w:val="auto"/>
          <w:kern w:val="0"/>
          <w:sz w:val="24"/>
          <w:szCs w:val="24"/>
          <w:highlight w:val="none"/>
          <w:u w:color="000000"/>
          <w:lang w:val="en-US" w:eastAsia="zh-CN" w:bidi="ar"/>
        </w:rPr>
        <w:t>26</w:t>
      </w:r>
      <w:r>
        <w:rPr>
          <w:rFonts w:hint="eastAsia" w:ascii="宋体" w:hAnsi="宋体" w:eastAsia="宋体" w:cs="宋体"/>
          <w:color w:val="auto"/>
          <w:kern w:val="0"/>
          <w:sz w:val="24"/>
          <w:szCs w:val="24"/>
          <w:highlight w:val="none"/>
          <w:u w:color="000000"/>
          <w:lang w:val="en-US" w:eastAsia="zh-CN" w:bidi="ar"/>
        </w:rPr>
        <w:t>年</w:t>
      </w:r>
      <w:r>
        <w:rPr>
          <w:rFonts w:hint="eastAsia" w:ascii="宋体" w:hAnsi="宋体" w:cs="宋体"/>
          <w:color w:val="auto"/>
          <w:kern w:val="0"/>
          <w:sz w:val="24"/>
          <w:szCs w:val="24"/>
          <w:highlight w:val="none"/>
          <w:u w:color="000000"/>
          <w:lang w:val="en-US" w:eastAsia="zh-CN" w:bidi="ar"/>
        </w:rPr>
        <w:t>8</w:t>
      </w:r>
      <w:r>
        <w:rPr>
          <w:rFonts w:hint="eastAsia" w:ascii="宋体" w:hAnsi="宋体" w:eastAsia="宋体" w:cs="宋体"/>
          <w:color w:val="auto"/>
          <w:kern w:val="0"/>
          <w:sz w:val="24"/>
          <w:szCs w:val="24"/>
          <w:highlight w:val="none"/>
          <w:u w:color="000000"/>
          <w:lang w:val="en-US" w:eastAsia="zh-CN" w:bidi="ar"/>
        </w:rPr>
        <w:t>月</w:t>
      </w:r>
      <w:r>
        <w:rPr>
          <w:rFonts w:hint="eastAsia" w:ascii="宋体" w:hAnsi="宋体" w:cs="宋体"/>
          <w:color w:val="auto"/>
          <w:kern w:val="0"/>
          <w:sz w:val="24"/>
          <w:szCs w:val="24"/>
          <w:highlight w:val="none"/>
          <w:u w:color="000000"/>
          <w:lang w:val="en-US" w:eastAsia="zh-CN" w:bidi="ar"/>
        </w:rPr>
        <w:t>18</w:t>
      </w:r>
      <w:r>
        <w:rPr>
          <w:rFonts w:hint="eastAsia" w:ascii="宋体" w:hAnsi="宋体" w:eastAsia="宋体" w:cs="宋体"/>
          <w:color w:val="auto"/>
          <w:kern w:val="0"/>
          <w:sz w:val="24"/>
          <w:szCs w:val="24"/>
          <w:highlight w:val="none"/>
          <w:u w:color="000000"/>
          <w:lang w:val="en-US" w:eastAsia="zh-CN" w:bidi="ar"/>
        </w:rPr>
        <w:t>日</w:t>
      </w:r>
      <w:r>
        <w:rPr>
          <w:rFonts w:hint="eastAsia" w:ascii="宋体" w:hAnsi="宋体" w:cs="宋体"/>
          <w:color w:val="auto"/>
          <w:kern w:val="0"/>
          <w:sz w:val="24"/>
          <w:szCs w:val="24"/>
          <w:highlight w:val="none"/>
          <w:u w:color="000000"/>
          <w:lang w:val="en-US" w:eastAsia="zh-CN" w:bidi="ar"/>
        </w:rPr>
        <w:t>9</w:t>
      </w:r>
      <w:r>
        <w:rPr>
          <w:rFonts w:hint="eastAsia" w:ascii="宋体" w:hAnsi="宋体" w:eastAsia="宋体" w:cs="宋体"/>
          <w:color w:val="auto"/>
          <w:kern w:val="0"/>
          <w:sz w:val="24"/>
          <w:szCs w:val="24"/>
          <w:highlight w:val="none"/>
          <w:u w:color="000000"/>
          <w:lang w:val="en-US" w:eastAsia="zh-CN" w:bidi="ar"/>
        </w:rPr>
        <w:t>时</w:t>
      </w:r>
      <w:r>
        <w:rPr>
          <w:rFonts w:hint="eastAsia" w:ascii="宋体" w:hAnsi="宋体" w:cs="宋体"/>
          <w:color w:val="auto"/>
          <w:kern w:val="0"/>
          <w:sz w:val="24"/>
          <w:szCs w:val="24"/>
          <w:highlight w:val="none"/>
          <w:u w:color="000000"/>
          <w:lang w:val="en-US" w:eastAsia="zh-CN" w:bidi="ar"/>
        </w:rPr>
        <w:t>0</w:t>
      </w:r>
      <w:r>
        <w:rPr>
          <w:rFonts w:hint="eastAsia" w:ascii="宋体" w:hAnsi="宋体" w:eastAsia="宋体" w:cs="宋体"/>
          <w:color w:val="auto"/>
          <w:kern w:val="0"/>
          <w:sz w:val="24"/>
          <w:szCs w:val="24"/>
          <w:highlight w:val="none"/>
          <w:u w:color="000000"/>
          <w:lang w:val="en-US" w:eastAsia="zh-CN" w:bidi="ar"/>
        </w:rPr>
        <w:t>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一、项目基本情况</w:t>
      </w:r>
      <w:bookmarkEnd w:id="35"/>
    </w:p>
    <w:p w14:paraId="15E445D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项目名称：滁州至南京城际铁路（滁州段）多站点廉洁主题设计施工一体化项目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预算金额</w:t>
      </w:r>
      <w:r>
        <w:rPr>
          <w:rFonts w:hint="eastAsia" w:ascii="宋体" w:hAnsi="宋体" w:eastAsia="宋体" w:cs="宋体"/>
          <w:b w:val="0"/>
          <w:bCs w:val="0"/>
          <w:color w:val="auto"/>
          <w:kern w:val="0"/>
          <w:sz w:val="24"/>
          <w:szCs w:val="24"/>
          <w:highlight w:val="yellow"/>
          <w:u w:color="000000"/>
          <w:lang w:val="en-US" w:eastAsia="zh-CN" w:bidi="ar"/>
        </w:rPr>
        <w:t>（</w:t>
      </w:r>
      <w:r>
        <w:rPr>
          <w:rFonts w:hint="eastAsia" w:ascii="宋体" w:hAnsi="宋体" w:cs="宋体"/>
          <w:b w:val="0"/>
          <w:bCs w:val="0"/>
          <w:color w:val="auto"/>
          <w:kern w:val="0"/>
          <w:sz w:val="24"/>
          <w:szCs w:val="24"/>
          <w:highlight w:val="yellow"/>
          <w:u w:color="000000"/>
          <w:lang w:val="en-US" w:eastAsia="zh-CN" w:bidi="ar"/>
        </w:rPr>
        <w:t>不</w:t>
      </w:r>
      <w:r>
        <w:rPr>
          <w:rFonts w:hint="eastAsia" w:ascii="宋体" w:hAnsi="宋体" w:eastAsia="宋体" w:cs="宋体"/>
          <w:b w:val="0"/>
          <w:bCs w:val="0"/>
          <w:color w:val="auto"/>
          <w:kern w:val="0"/>
          <w:sz w:val="24"/>
          <w:szCs w:val="24"/>
          <w:highlight w:val="yellow"/>
          <w:u w:color="000000"/>
          <w:lang w:val="en-US" w:eastAsia="zh-CN" w:bidi="ar"/>
        </w:rPr>
        <w:t>含税）</w:t>
      </w:r>
      <w:r>
        <w:rPr>
          <w:rFonts w:hint="eastAsia" w:ascii="宋体" w:hAnsi="宋体" w:eastAsia="宋体" w:cs="宋体"/>
          <w:b w:val="0"/>
          <w:bCs w:val="0"/>
          <w:color w:val="auto"/>
          <w:kern w:val="0"/>
          <w:sz w:val="24"/>
          <w:szCs w:val="24"/>
          <w:highlight w:val="none"/>
          <w:u w:color="000000"/>
          <w:lang w:val="en-US" w:eastAsia="zh-CN" w:bidi="ar"/>
        </w:rPr>
        <w:t>：600000.00元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最高限价</w:t>
      </w:r>
      <w:r>
        <w:rPr>
          <w:rFonts w:hint="eastAsia" w:ascii="宋体" w:hAnsi="宋体" w:eastAsia="宋体" w:cs="宋体"/>
          <w:b w:val="0"/>
          <w:bCs w:val="0"/>
          <w:color w:val="auto"/>
          <w:kern w:val="0"/>
          <w:sz w:val="24"/>
          <w:szCs w:val="24"/>
          <w:highlight w:val="yellow"/>
          <w:u w:color="000000"/>
          <w:lang w:val="en-US" w:eastAsia="zh-CN" w:bidi="ar"/>
        </w:rPr>
        <w:t>（</w:t>
      </w:r>
      <w:r>
        <w:rPr>
          <w:rFonts w:hint="eastAsia" w:ascii="宋体" w:hAnsi="宋体" w:cs="宋体"/>
          <w:b w:val="0"/>
          <w:bCs w:val="0"/>
          <w:color w:val="auto"/>
          <w:kern w:val="0"/>
          <w:sz w:val="24"/>
          <w:szCs w:val="24"/>
          <w:highlight w:val="yellow"/>
          <w:u w:color="000000"/>
          <w:lang w:val="en-US" w:eastAsia="zh-CN" w:bidi="ar"/>
        </w:rPr>
        <w:t>不</w:t>
      </w:r>
      <w:r>
        <w:rPr>
          <w:rFonts w:hint="eastAsia" w:ascii="宋体" w:hAnsi="宋体" w:eastAsia="宋体" w:cs="宋体"/>
          <w:b w:val="0"/>
          <w:bCs w:val="0"/>
          <w:color w:val="auto"/>
          <w:kern w:val="0"/>
          <w:sz w:val="24"/>
          <w:szCs w:val="24"/>
          <w:highlight w:val="yellow"/>
          <w:u w:color="000000"/>
          <w:lang w:val="en-US" w:eastAsia="zh-CN" w:bidi="ar"/>
        </w:rPr>
        <w:t>含税）</w:t>
      </w:r>
      <w:r>
        <w:rPr>
          <w:rFonts w:hint="eastAsia" w:ascii="宋体" w:hAnsi="宋体" w:eastAsia="宋体" w:cs="宋体"/>
          <w:b w:val="0"/>
          <w:bCs w:val="0"/>
          <w:color w:val="auto"/>
          <w:kern w:val="0"/>
          <w:sz w:val="24"/>
          <w:szCs w:val="24"/>
          <w:highlight w:val="none"/>
          <w:u w:color="000000"/>
          <w:lang w:val="en-US" w:eastAsia="zh-CN" w:bidi="ar"/>
        </w:rPr>
        <w:t>：本项目最高限价为（人民币）600000.00元，投标报价不得超过最高限价，否则按无效投标处理。</w:t>
      </w:r>
    </w:p>
    <w:p w14:paraId="14B2EE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采购需求：</w:t>
      </w:r>
      <w:r>
        <w:rPr>
          <w:rFonts w:hint="eastAsia" w:ascii="宋体" w:hAnsi="宋体" w:cs="宋体"/>
          <w:b w:val="0"/>
          <w:bCs w:val="0"/>
          <w:color w:val="auto"/>
          <w:kern w:val="0"/>
          <w:sz w:val="24"/>
          <w:szCs w:val="24"/>
          <w:highlight w:val="none"/>
          <w:u w:color="000000"/>
          <w:lang w:val="en-US" w:eastAsia="zh-CN" w:bidi="ar"/>
        </w:rPr>
        <w:t>详见采购需求。</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cs="宋体"/>
          <w:b w:val="0"/>
          <w:bCs w:val="0"/>
          <w:color w:val="auto"/>
          <w:kern w:val="0"/>
          <w:sz w:val="24"/>
          <w:szCs w:val="24"/>
          <w:highlight w:val="none"/>
          <w:u w:color="000000"/>
          <w:lang w:val="en-US" w:eastAsia="zh-CN" w:bidi="ar"/>
        </w:rPr>
        <w:t>工期</w:t>
      </w:r>
      <w:r>
        <w:rPr>
          <w:rFonts w:hint="eastAsia" w:ascii="宋体" w:hAnsi="宋体" w:eastAsia="宋体" w:cs="宋体"/>
          <w:b w:val="0"/>
          <w:bCs w:val="0"/>
          <w:color w:val="auto"/>
          <w:kern w:val="0"/>
          <w:sz w:val="24"/>
          <w:szCs w:val="24"/>
          <w:highlight w:val="none"/>
          <w:u w:color="000000"/>
          <w:lang w:val="en-US" w:eastAsia="zh-CN" w:bidi="ar"/>
        </w:rPr>
        <w:t>：不高于</w:t>
      </w:r>
      <w:r>
        <w:rPr>
          <w:rFonts w:hint="eastAsia" w:ascii="宋体" w:hAnsi="宋体" w:cs="宋体"/>
          <w:b w:val="0"/>
          <w:bCs w:val="0"/>
          <w:color w:val="auto"/>
          <w:kern w:val="0"/>
          <w:sz w:val="24"/>
          <w:szCs w:val="24"/>
          <w:highlight w:val="none"/>
          <w:u w:color="000000"/>
          <w:lang w:val="en-US" w:eastAsia="zh-CN" w:bidi="ar"/>
        </w:rPr>
        <w:t>9</w:t>
      </w:r>
      <w:r>
        <w:rPr>
          <w:rFonts w:hint="eastAsia" w:ascii="宋体" w:hAnsi="宋体" w:eastAsia="宋体" w:cs="宋体"/>
          <w:b w:val="0"/>
          <w:bCs w:val="0"/>
          <w:color w:val="auto"/>
          <w:kern w:val="0"/>
          <w:sz w:val="24"/>
          <w:szCs w:val="24"/>
          <w:highlight w:val="none"/>
          <w:u w:color="000000"/>
          <w:lang w:val="en-US" w:eastAsia="zh-CN" w:bidi="ar"/>
        </w:rPr>
        <w:t>0个日历天（其中合同签订后</w:t>
      </w:r>
      <w:r>
        <w:rPr>
          <w:rFonts w:hint="eastAsia" w:ascii="宋体" w:hAnsi="宋体" w:cs="宋体"/>
          <w:b w:val="0"/>
          <w:bCs w:val="0"/>
          <w:color w:val="auto"/>
          <w:kern w:val="0"/>
          <w:sz w:val="24"/>
          <w:szCs w:val="24"/>
          <w:highlight w:val="none"/>
          <w:u w:color="000000"/>
          <w:lang w:val="en-US" w:eastAsia="zh-CN" w:bidi="ar"/>
        </w:rPr>
        <w:t>10</w:t>
      </w:r>
      <w:r>
        <w:rPr>
          <w:rFonts w:hint="eastAsia" w:ascii="宋体" w:hAnsi="宋体" w:eastAsia="宋体" w:cs="宋体"/>
          <w:b w:val="0"/>
          <w:bCs w:val="0"/>
          <w:color w:val="auto"/>
          <w:kern w:val="0"/>
          <w:sz w:val="24"/>
          <w:szCs w:val="24"/>
          <w:highlight w:val="none"/>
          <w:u w:color="000000"/>
          <w:lang w:val="en-US" w:eastAsia="zh-CN" w:bidi="ar"/>
        </w:rPr>
        <w:t>个日历天内完成方案设计文本；方案设计成果通过审核后</w:t>
      </w:r>
      <w:r>
        <w:rPr>
          <w:rFonts w:hint="eastAsia" w:ascii="宋体" w:hAnsi="宋体" w:cs="宋体"/>
          <w:b w:val="0"/>
          <w:bCs w:val="0"/>
          <w:color w:val="auto"/>
          <w:kern w:val="0"/>
          <w:sz w:val="24"/>
          <w:szCs w:val="24"/>
          <w:highlight w:val="none"/>
          <w:u w:color="000000"/>
          <w:lang w:val="en-US" w:eastAsia="zh-CN" w:bidi="ar"/>
        </w:rPr>
        <w:t>2</w:t>
      </w:r>
      <w:r>
        <w:rPr>
          <w:rFonts w:hint="eastAsia" w:ascii="宋体" w:hAnsi="宋体" w:eastAsia="宋体" w:cs="宋体"/>
          <w:b w:val="0"/>
          <w:bCs w:val="0"/>
          <w:color w:val="auto"/>
          <w:kern w:val="0"/>
          <w:sz w:val="24"/>
          <w:szCs w:val="24"/>
          <w:highlight w:val="none"/>
          <w:u w:color="000000"/>
          <w:lang w:val="en-US" w:eastAsia="zh-CN" w:bidi="ar"/>
        </w:rPr>
        <w:t>0个日历天内，完成深化设计文件编制并提交成果文件；</w:t>
      </w:r>
      <w:r>
        <w:rPr>
          <w:rFonts w:hint="eastAsia" w:ascii="宋体" w:hAnsi="宋体" w:cs="宋体"/>
          <w:b w:val="0"/>
          <w:bCs w:val="0"/>
          <w:color w:val="auto"/>
          <w:kern w:val="0"/>
          <w:sz w:val="24"/>
          <w:szCs w:val="24"/>
          <w:highlight w:val="none"/>
          <w:u w:color="000000"/>
          <w:lang w:val="en-US" w:eastAsia="zh-CN" w:bidi="ar"/>
        </w:rPr>
        <w:t>60</w:t>
      </w:r>
      <w:r>
        <w:rPr>
          <w:rFonts w:hint="eastAsia" w:ascii="宋体" w:hAnsi="宋体" w:eastAsia="宋体" w:cs="宋体"/>
          <w:b w:val="0"/>
          <w:bCs w:val="0"/>
          <w:color w:val="auto"/>
          <w:kern w:val="0"/>
          <w:sz w:val="24"/>
          <w:szCs w:val="24"/>
          <w:highlight w:val="none"/>
          <w:u w:color="000000"/>
          <w:lang w:val="en-US" w:eastAsia="zh-CN" w:bidi="ar"/>
        </w:rPr>
        <w:t>个日历天内内完成施工）。</w:t>
      </w:r>
    </w:p>
    <w:p w14:paraId="7C79C6D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二、</w:t>
      </w:r>
      <w:r>
        <w:rPr>
          <w:rFonts w:hint="eastAsia" w:ascii="宋体" w:hAnsi="宋体" w:eastAsia="宋体" w:cs="宋体"/>
          <w:b/>
          <w:bCs w:val="0"/>
          <w:color w:val="auto"/>
          <w:kern w:val="0"/>
          <w:sz w:val="24"/>
          <w:szCs w:val="24"/>
          <w:highlight w:val="none"/>
          <w:u w:color="000000"/>
          <w:lang w:val="en-US" w:eastAsia="zh-CN" w:bidi="ar"/>
        </w:rPr>
        <w:t>申请人的资格要求</w:t>
      </w:r>
    </w:p>
    <w:p w14:paraId="705B45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1.投标人须具有独立法人资格且具备相应服务能力。</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时间：</w:t>
      </w:r>
      <w:r>
        <w:rPr>
          <w:rFonts w:hint="eastAsia" w:ascii="宋体" w:hAnsi="宋体" w:eastAsia="宋体" w:cs="宋体"/>
          <w:color w:val="auto"/>
          <w:kern w:val="0"/>
          <w:sz w:val="24"/>
          <w:szCs w:val="24"/>
          <w:highlight w:val="none"/>
          <w:u w:val="single" w:color="000000"/>
          <w:lang w:val="en-US" w:eastAsia="zh-CN" w:bidi="ar"/>
        </w:rPr>
        <w:t xml:space="preserve"> 202</w:t>
      </w:r>
      <w:r>
        <w:rPr>
          <w:rFonts w:hint="eastAsia" w:ascii="宋体" w:hAnsi="宋体" w:cs="宋体"/>
          <w:color w:val="auto"/>
          <w:kern w:val="0"/>
          <w:sz w:val="24"/>
          <w:szCs w:val="24"/>
          <w:highlight w:val="none"/>
          <w:u w:val="single" w:color="000000"/>
          <w:lang w:val="en-US" w:eastAsia="zh-CN" w:bidi="ar"/>
        </w:rPr>
        <w:t>6</w:t>
      </w:r>
      <w:r>
        <w:rPr>
          <w:rFonts w:hint="eastAsia" w:ascii="宋体" w:hAnsi="宋体" w:eastAsia="宋体" w:cs="宋体"/>
          <w:color w:val="auto"/>
          <w:kern w:val="0"/>
          <w:sz w:val="24"/>
          <w:szCs w:val="24"/>
          <w:highlight w:val="none"/>
          <w:u w:val="single" w:color="000000"/>
          <w:lang w:val="en-US" w:eastAsia="zh-CN" w:bidi="ar"/>
        </w:rPr>
        <w:t>年</w:t>
      </w:r>
      <w:r>
        <w:rPr>
          <w:rFonts w:hint="eastAsia" w:ascii="宋体" w:hAnsi="宋体" w:cs="宋体"/>
          <w:color w:val="auto"/>
          <w:kern w:val="0"/>
          <w:sz w:val="24"/>
          <w:szCs w:val="24"/>
          <w:highlight w:val="none"/>
          <w:u w:val="single" w:color="000000"/>
          <w:lang w:val="en-US" w:eastAsia="zh-CN" w:bidi="ar"/>
        </w:rPr>
        <w:t>7</w:t>
      </w:r>
      <w:r>
        <w:rPr>
          <w:rFonts w:hint="eastAsia" w:ascii="宋体" w:hAnsi="宋体" w:eastAsia="宋体" w:cs="宋体"/>
          <w:color w:val="auto"/>
          <w:kern w:val="0"/>
          <w:sz w:val="24"/>
          <w:szCs w:val="24"/>
          <w:highlight w:val="none"/>
          <w:u w:val="single" w:color="000000"/>
          <w:lang w:val="en-US" w:eastAsia="zh-CN" w:bidi="ar"/>
        </w:rPr>
        <w:t>月</w:t>
      </w:r>
      <w:r>
        <w:rPr>
          <w:rFonts w:hint="eastAsia" w:ascii="宋体" w:hAnsi="宋体" w:cs="宋体"/>
          <w:color w:val="auto"/>
          <w:kern w:val="0"/>
          <w:sz w:val="24"/>
          <w:szCs w:val="24"/>
          <w:highlight w:val="none"/>
          <w:u w:val="single" w:color="000000"/>
          <w:lang w:val="en-US" w:eastAsia="zh-CN" w:bidi="ar"/>
        </w:rPr>
        <w:t>28</w:t>
      </w:r>
      <w:r>
        <w:rPr>
          <w:rFonts w:hint="eastAsia" w:ascii="宋体" w:hAnsi="宋体" w:eastAsia="宋体" w:cs="宋体"/>
          <w:color w:val="auto"/>
          <w:kern w:val="0"/>
          <w:sz w:val="24"/>
          <w:szCs w:val="24"/>
          <w:highlight w:val="none"/>
          <w:u w:val="single" w:color="000000"/>
          <w:lang w:val="en-US" w:eastAsia="zh-CN" w:bidi="ar"/>
        </w:rPr>
        <w:t>日</w:t>
      </w:r>
      <w:r>
        <w:rPr>
          <w:rFonts w:hint="eastAsia" w:ascii="宋体" w:hAnsi="宋体" w:eastAsia="宋体" w:cs="宋体"/>
          <w:color w:val="auto"/>
          <w:kern w:val="0"/>
          <w:sz w:val="24"/>
          <w:szCs w:val="24"/>
          <w:highlight w:val="none"/>
          <w:u w:color="000000"/>
          <w:lang w:val="en-US" w:eastAsia="zh-CN" w:bidi="ar"/>
        </w:rPr>
        <w:t>至</w:t>
      </w:r>
      <w:r>
        <w:rPr>
          <w:rFonts w:hint="eastAsia" w:ascii="宋体" w:hAnsi="宋体" w:eastAsia="宋体" w:cs="宋体"/>
          <w:color w:val="auto"/>
          <w:kern w:val="0"/>
          <w:sz w:val="24"/>
          <w:szCs w:val="24"/>
          <w:highlight w:val="none"/>
          <w:u w:val="single" w:color="000000"/>
          <w:lang w:val="en-US" w:eastAsia="zh-CN" w:bidi="ar"/>
        </w:rPr>
        <w:t xml:space="preserve"> 202</w:t>
      </w:r>
      <w:r>
        <w:rPr>
          <w:rFonts w:hint="eastAsia" w:ascii="宋体" w:hAnsi="宋体" w:cs="宋体"/>
          <w:color w:val="auto"/>
          <w:kern w:val="0"/>
          <w:sz w:val="24"/>
          <w:szCs w:val="24"/>
          <w:highlight w:val="none"/>
          <w:u w:val="single" w:color="000000"/>
          <w:lang w:val="en-US" w:eastAsia="zh-CN" w:bidi="ar"/>
        </w:rPr>
        <w:t>6</w:t>
      </w:r>
      <w:r>
        <w:rPr>
          <w:rFonts w:hint="eastAsia" w:ascii="宋体" w:hAnsi="宋体" w:eastAsia="宋体" w:cs="宋体"/>
          <w:color w:val="auto"/>
          <w:kern w:val="0"/>
          <w:sz w:val="24"/>
          <w:szCs w:val="24"/>
          <w:highlight w:val="none"/>
          <w:u w:val="single" w:color="000000"/>
          <w:lang w:val="en-US" w:eastAsia="zh-CN" w:bidi="ar"/>
        </w:rPr>
        <w:t>年</w:t>
      </w:r>
      <w:r>
        <w:rPr>
          <w:rFonts w:hint="eastAsia" w:ascii="宋体" w:hAnsi="宋体" w:cs="宋体"/>
          <w:color w:val="auto"/>
          <w:kern w:val="0"/>
          <w:sz w:val="24"/>
          <w:szCs w:val="24"/>
          <w:highlight w:val="none"/>
          <w:u w:val="single" w:color="000000"/>
          <w:lang w:val="en-US" w:eastAsia="zh-CN" w:bidi="ar"/>
        </w:rPr>
        <w:t>8</w:t>
      </w:r>
      <w:r>
        <w:rPr>
          <w:rFonts w:hint="eastAsia" w:ascii="宋体" w:hAnsi="宋体" w:eastAsia="宋体" w:cs="宋体"/>
          <w:color w:val="auto"/>
          <w:kern w:val="0"/>
          <w:sz w:val="24"/>
          <w:szCs w:val="24"/>
          <w:highlight w:val="none"/>
          <w:u w:val="single" w:color="000000"/>
          <w:lang w:val="en-US" w:eastAsia="zh-CN" w:bidi="ar"/>
        </w:rPr>
        <w:t>月</w:t>
      </w:r>
      <w:r>
        <w:rPr>
          <w:rFonts w:hint="eastAsia" w:ascii="宋体" w:hAnsi="宋体" w:cs="宋体"/>
          <w:color w:val="auto"/>
          <w:kern w:val="0"/>
          <w:sz w:val="24"/>
          <w:szCs w:val="24"/>
          <w:highlight w:val="none"/>
          <w:u w:val="single" w:color="000000"/>
          <w:lang w:val="en-US" w:eastAsia="zh-CN" w:bidi="ar"/>
        </w:rPr>
        <w:t>18</w:t>
      </w:r>
      <w:r>
        <w:rPr>
          <w:rFonts w:hint="eastAsia" w:ascii="宋体" w:hAnsi="宋体" w:eastAsia="宋体" w:cs="宋体"/>
          <w:color w:val="auto"/>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auto"/>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color w:val="auto"/>
          <w:sz w:val="24"/>
          <w:szCs w:val="24"/>
          <w:highlight w:val="none"/>
          <w:lang w:val="en-US"/>
        </w:rPr>
      </w:pPr>
      <w:bookmarkStart w:id="36" w:name="_Toc35393793"/>
      <w:bookmarkEnd w:id="36"/>
      <w:bookmarkStart w:id="37" w:name="_Toc28359082"/>
      <w:bookmarkEnd w:id="37"/>
      <w:bookmarkStart w:id="38" w:name="_Toc28359005"/>
      <w:bookmarkEnd w:id="38"/>
      <w:bookmarkStart w:id="39" w:name="_Toc58430308"/>
      <w:bookmarkEnd w:id="39"/>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截止时间：</w:t>
      </w:r>
      <w:r>
        <w:rPr>
          <w:rFonts w:hint="eastAsia" w:ascii="宋体" w:hAnsi="宋体" w:eastAsia="宋体" w:cs="宋体"/>
          <w:bCs/>
          <w:color w:val="auto"/>
          <w:kern w:val="0"/>
          <w:sz w:val="24"/>
          <w:szCs w:val="24"/>
          <w:highlight w:val="none"/>
          <w:u w:val="single" w:color="000000"/>
          <w:lang w:val="en-US" w:eastAsia="zh-CN" w:bidi="ar"/>
        </w:rPr>
        <w:t>2026年</w:t>
      </w:r>
      <w:r>
        <w:rPr>
          <w:rFonts w:hint="eastAsia" w:ascii="宋体" w:hAnsi="宋体" w:cs="宋体"/>
          <w:bCs/>
          <w:color w:val="auto"/>
          <w:kern w:val="0"/>
          <w:sz w:val="24"/>
          <w:szCs w:val="24"/>
          <w:highlight w:val="none"/>
          <w:u w:val="single" w:color="000000"/>
          <w:lang w:val="en-US" w:eastAsia="zh-CN" w:bidi="ar"/>
        </w:rPr>
        <w:t xml:space="preserve">8 </w:t>
      </w:r>
      <w:r>
        <w:rPr>
          <w:rFonts w:hint="eastAsia" w:ascii="宋体" w:hAnsi="宋体" w:eastAsia="宋体" w:cs="宋体"/>
          <w:bCs/>
          <w:color w:val="auto"/>
          <w:kern w:val="0"/>
          <w:sz w:val="24"/>
          <w:szCs w:val="24"/>
          <w:highlight w:val="none"/>
          <w:u w:val="single" w:color="000000"/>
          <w:lang w:val="en-US" w:eastAsia="zh-CN" w:bidi="ar"/>
        </w:rPr>
        <w:t>月</w:t>
      </w:r>
      <w:r>
        <w:rPr>
          <w:rFonts w:hint="eastAsia" w:ascii="宋体" w:hAnsi="宋体" w:cs="宋体"/>
          <w:bCs/>
          <w:color w:val="auto"/>
          <w:kern w:val="0"/>
          <w:sz w:val="24"/>
          <w:szCs w:val="24"/>
          <w:highlight w:val="none"/>
          <w:u w:val="single" w:color="000000"/>
          <w:lang w:val="en-US" w:eastAsia="zh-CN" w:bidi="ar"/>
        </w:rPr>
        <w:t>18</w:t>
      </w:r>
      <w:r>
        <w:rPr>
          <w:rFonts w:hint="eastAsia" w:ascii="宋体" w:hAnsi="宋体" w:eastAsia="宋体" w:cs="宋体"/>
          <w:bCs/>
          <w:color w:val="auto"/>
          <w:kern w:val="0"/>
          <w:sz w:val="24"/>
          <w:szCs w:val="24"/>
          <w:highlight w:val="none"/>
          <w:u w:val="single" w:color="000000"/>
          <w:lang w:val="en-US" w:eastAsia="zh-CN" w:bidi="ar"/>
        </w:rPr>
        <w:t>日9时00分</w:t>
      </w:r>
      <w:r>
        <w:rPr>
          <w:rFonts w:hint="eastAsia" w:ascii="宋体" w:hAnsi="宋体" w:eastAsia="宋体" w:cs="宋体"/>
          <w:bCs/>
          <w:color w:val="auto"/>
          <w:kern w:val="0"/>
          <w:sz w:val="24"/>
          <w:szCs w:val="24"/>
          <w:highlight w:val="none"/>
          <w:u w:color="000000"/>
          <w:lang w:val="en-US" w:eastAsia="zh-CN" w:bidi="ar"/>
        </w:rPr>
        <w:t>（北京时间）</w:t>
      </w:r>
    </w:p>
    <w:p w14:paraId="5277FFE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地点：滁州市龙蟠大道109号（房产商务大厦）6楼622会议室</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kern w:val="0"/>
          <w:sz w:val="24"/>
          <w:szCs w:val="24"/>
          <w:highlight w:val="none"/>
          <w:u w:color="000000"/>
          <w:lang w:val="en-US" w:eastAsia="zh-CN" w:bidi="ar"/>
        </w:rPr>
        <w:fldChar w:fldCharType="begin"/>
      </w:r>
      <w:r>
        <w:rPr>
          <w:rFonts w:hint="eastAsia" w:ascii="宋体" w:hAnsi="宋体" w:eastAsia="宋体" w:cs="宋体"/>
          <w:color w:val="auto"/>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auto"/>
          <w:kern w:val="0"/>
          <w:sz w:val="24"/>
          <w:szCs w:val="24"/>
          <w:highlight w:val="none"/>
          <w:u w:color="000000"/>
          <w:lang w:val="en-US" w:eastAsia="zh-CN" w:bidi="ar"/>
        </w:rPr>
        <w:fldChar w:fldCharType="separate"/>
      </w:r>
      <w:r>
        <w:rPr>
          <w:rFonts w:hint="eastAsia" w:ascii="宋体" w:hAnsi="宋体" w:eastAsia="宋体" w:cs="宋体"/>
          <w:color w:val="auto"/>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auto"/>
          <w:kern w:val="0"/>
          <w:sz w:val="24"/>
          <w:szCs w:val="24"/>
          <w:highlight w:val="none"/>
          <w:u w:color="000000"/>
          <w:lang w:val="en-US" w:eastAsia="zh-CN" w:bidi="ar"/>
        </w:rPr>
        <w:fldChar w:fldCharType="end"/>
      </w:r>
      <w:r>
        <w:rPr>
          <w:rFonts w:hint="eastAsia" w:ascii="宋体" w:hAnsi="宋体" w:eastAsia="宋体" w:cs="宋体"/>
          <w:color w:val="auto"/>
          <w:kern w:val="0"/>
          <w:sz w:val="24"/>
          <w:szCs w:val="24"/>
          <w:highlight w:val="none"/>
          <w:u w:color="000000"/>
          <w:lang w:val="en-US" w:eastAsia="zh-CN" w:bidi="ar"/>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五、投标保证金金额及缴纳账户</w:t>
      </w:r>
    </w:p>
    <w:p w14:paraId="502F049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是否要求投标人提交投标保证金：不要求。</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六、</w:t>
      </w:r>
      <w:r>
        <w:rPr>
          <w:rFonts w:hint="eastAsia" w:ascii="宋体" w:hAnsi="宋体" w:eastAsia="宋体" w:cs="宋体"/>
          <w:b/>
          <w:bCs w:val="0"/>
          <w:color w:val="auto"/>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eastAsia="zh-CN" w:bidi="ar"/>
        </w:rPr>
      </w:pPr>
      <w:bookmarkStart w:id="40" w:name="_Toc28359087"/>
      <w:r>
        <w:rPr>
          <w:rFonts w:hint="eastAsia" w:ascii="宋体" w:hAnsi="宋体" w:eastAsia="宋体" w:cs="宋体"/>
          <w:bCs/>
          <w:color w:val="auto"/>
          <w:kern w:val="0"/>
          <w:sz w:val="24"/>
          <w:highlight w:val="none"/>
          <w:u w:color="000000"/>
          <w:lang w:bidi="ar"/>
        </w:rPr>
        <w:t>名称：</w:t>
      </w:r>
      <w:r>
        <w:rPr>
          <w:rFonts w:hint="eastAsia" w:ascii="宋体" w:hAnsi="宋体" w:eastAsia="宋体" w:cs="宋体"/>
          <w:bCs/>
          <w:color w:val="auto"/>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eastAsia="zh-CN" w:bidi="ar"/>
        </w:rPr>
      </w:pPr>
      <w:r>
        <w:rPr>
          <w:rFonts w:hint="eastAsia" w:ascii="宋体" w:hAnsi="宋体" w:eastAsia="宋体" w:cs="宋体"/>
          <w:bCs/>
          <w:color w:val="auto"/>
          <w:kern w:val="0"/>
          <w:sz w:val="24"/>
          <w:highlight w:val="none"/>
          <w:u w:color="000000"/>
          <w:lang w:bidi="ar"/>
        </w:rPr>
        <w:t>地址：</w:t>
      </w:r>
      <w:r>
        <w:rPr>
          <w:rFonts w:hint="eastAsia" w:ascii="宋体" w:hAnsi="宋体" w:eastAsia="宋体" w:cs="宋体"/>
          <w:bCs/>
          <w:color w:val="auto"/>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联系方式：</w:t>
      </w:r>
      <w:r>
        <w:rPr>
          <w:rFonts w:hint="eastAsia" w:ascii="宋体" w:hAnsi="宋体" w:eastAsia="宋体" w:cs="宋体"/>
          <w:bCs/>
          <w:color w:val="auto"/>
          <w:kern w:val="0"/>
          <w:sz w:val="24"/>
          <w:highlight w:val="none"/>
          <w:u w:color="000000"/>
          <w:lang w:eastAsia="zh-CN" w:bidi="ar"/>
        </w:rPr>
        <w:t>13339207910</w:t>
      </w:r>
      <w:r>
        <w:rPr>
          <w:rFonts w:hint="eastAsia" w:ascii="宋体" w:hAnsi="宋体" w:eastAsia="宋体" w:cs="宋体"/>
          <w:bCs/>
          <w:color w:val="auto"/>
          <w:kern w:val="0"/>
          <w:sz w:val="24"/>
          <w:highlight w:val="none"/>
          <w:u w:color="000000"/>
          <w:lang w:bidi="ar"/>
        </w:rPr>
        <w:t xml:space="preserve"> </w:t>
      </w:r>
      <w:bookmarkStart w:id="41" w:name="_Toc28359086"/>
      <w:bookmarkStart w:id="42" w:name="_Toc28359009"/>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2.</w:t>
      </w:r>
      <w:bookmarkEnd w:id="40"/>
      <w:r>
        <w:rPr>
          <w:rFonts w:hint="eastAsia" w:ascii="宋体" w:hAnsi="宋体" w:eastAsia="宋体" w:cs="宋体"/>
          <w:bCs/>
          <w:color w:val="auto"/>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项目联系人：</w:t>
      </w:r>
      <w:r>
        <w:rPr>
          <w:rFonts w:hint="eastAsia" w:ascii="宋体" w:hAnsi="宋体" w:eastAsia="宋体" w:cs="宋体"/>
          <w:bCs/>
          <w:color w:val="auto"/>
          <w:kern w:val="0"/>
          <w:sz w:val="24"/>
          <w:highlight w:val="none"/>
          <w:u w:color="000000"/>
          <w:lang w:eastAsia="zh-CN" w:bidi="ar"/>
        </w:rPr>
        <w:t>杨雅辰</w:t>
      </w:r>
      <w:r>
        <w:rPr>
          <w:rFonts w:hint="eastAsia" w:ascii="宋体" w:hAnsi="宋体" w:eastAsia="宋体" w:cs="宋体"/>
          <w:bCs/>
          <w:color w:val="auto"/>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电话：</w:t>
      </w:r>
      <w:r>
        <w:rPr>
          <w:rFonts w:hint="eastAsia" w:ascii="宋体" w:hAnsi="宋体" w:eastAsia="宋体" w:cs="宋体"/>
          <w:bCs/>
          <w:color w:val="auto"/>
          <w:kern w:val="0"/>
          <w:sz w:val="24"/>
          <w:highlight w:val="none"/>
          <w:u w:color="000000"/>
          <w:lang w:eastAsia="zh-CN" w:bidi="ar"/>
        </w:rPr>
        <w:t>13339207910</w:t>
      </w:r>
      <w:r>
        <w:rPr>
          <w:rFonts w:hint="eastAsia" w:ascii="宋体" w:hAnsi="宋体" w:eastAsia="宋体" w:cs="宋体"/>
          <w:bCs/>
          <w:color w:val="auto"/>
          <w:kern w:val="0"/>
          <w:sz w:val="24"/>
          <w:highlight w:val="none"/>
          <w:u w:color="000000"/>
          <w:lang w:bidi="ar"/>
        </w:rPr>
        <w:t>、18005505728</w:t>
      </w:r>
    </w:p>
    <w:p w14:paraId="3833BBB4">
      <w:pPr>
        <w:keepNext w:val="0"/>
        <w:keepLines w:val="0"/>
        <w:pageBreakBefore w:val="0"/>
        <w:widowControl/>
        <w:kinsoku/>
        <w:wordWrap w:val="0"/>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val="en-US" w:eastAsia="zh-CN" w:bidi="ar"/>
        </w:rPr>
      </w:pPr>
      <w:r>
        <w:rPr>
          <w:rFonts w:hint="eastAsia" w:ascii="宋体" w:hAnsi="宋体" w:cs="宋体"/>
          <w:bCs/>
          <w:color w:val="auto"/>
          <w:kern w:val="0"/>
          <w:sz w:val="24"/>
          <w:highlight w:val="none"/>
          <w:u w:color="000000"/>
          <w:lang w:val="en-US" w:eastAsia="zh-CN" w:bidi="ar"/>
        </w:rPr>
        <w:t>附件：图纸（网盘链接: https://pan.baidu.com/s/1KCNkInJrxNr9Qxg6AL7UNg?pwd=7bnk 提取码: 7bnk）</w:t>
      </w:r>
    </w:p>
    <w:p w14:paraId="7C1F8FDB">
      <w:pPr>
        <w:pStyle w:val="45"/>
        <w:spacing w:beforeLines="50" w:afterLines="50" w:line="440" w:lineRule="exact"/>
        <w:jc w:val="both"/>
        <w:rPr>
          <w:rFonts w:hint="eastAsia"/>
          <w:bCs/>
          <w:color w:val="auto"/>
          <w:szCs w:val="32"/>
          <w:highlight w:val="none"/>
          <w:lang w:val="en-US" w:eastAsia="zh-CN"/>
        </w:rPr>
      </w:pPr>
      <w:r>
        <w:rPr>
          <w:rFonts w:hint="eastAsia"/>
          <w:bCs/>
          <w:color w:val="auto"/>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color w:val="auto"/>
          <w:szCs w:val="32"/>
          <w:highlight w:val="none"/>
          <w:lang w:val="en-US" w:eastAsia="zh-CN"/>
        </w:rPr>
        <w:t xml:space="preserve">  第二章 投标人须知</w:t>
      </w:r>
      <w:bookmarkStart w:id="43" w:name="_Toc9559"/>
      <w:bookmarkEnd w:id="43"/>
      <w:bookmarkStart w:id="44" w:name="_Toc35425051"/>
      <w:bookmarkStart w:id="45" w:name="_Toc35424884"/>
      <w:bookmarkStart w:id="46" w:name="_Toc152045528"/>
      <w:bookmarkStart w:id="47" w:name="_Toc324404814"/>
      <w:bookmarkStart w:id="48" w:name="_Toc246996174"/>
      <w:bookmarkStart w:id="49" w:name="_Toc247085688"/>
      <w:bookmarkStart w:id="50" w:name="_Toc179632545"/>
      <w:bookmarkStart w:id="51" w:name="_Toc506107268"/>
      <w:bookmarkStart w:id="52" w:name="_Toc144974496"/>
      <w:bookmarkStart w:id="53" w:name="_Toc152042304"/>
      <w:bookmarkStart w:id="54" w:name="_Toc15058845"/>
      <w:bookmarkStart w:id="55" w:name="_Toc246996917"/>
    </w:p>
    <w:p w14:paraId="594BBBF6">
      <w:pPr>
        <w:pStyle w:val="45"/>
        <w:spacing w:beforeLines="50" w:afterLines="50" w:line="440" w:lineRule="exact"/>
        <w:rPr>
          <w:b/>
          <w:bCs/>
          <w:color w:val="auto"/>
          <w:sz w:val="28"/>
          <w:szCs w:val="28"/>
          <w:highlight w:val="none"/>
        </w:rPr>
      </w:pPr>
      <w:r>
        <w:rPr>
          <w:rFonts w:hint="eastAsia"/>
          <w:b/>
          <w:bCs/>
          <w:color w:val="auto"/>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8"/>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color w:val="auto"/>
                <w:highlight w:val="none"/>
                <w:lang w:val="en-US" w:eastAsia="zh-CN"/>
              </w:rPr>
            </w:pPr>
            <w:bookmarkStart w:id="56" w:name="_Toc152042305"/>
            <w:bookmarkStart w:id="57" w:name="_Toc35425053"/>
            <w:bookmarkStart w:id="58" w:name="_Toc144974497"/>
            <w:bookmarkStart w:id="59" w:name="_Toc247085689"/>
            <w:bookmarkStart w:id="60" w:name="_Toc246996918"/>
            <w:bookmarkStart w:id="61" w:name="_Toc15058846"/>
            <w:bookmarkStart w:id="62" w:name="_Toc5813"/>
            <w:bookmarkStart w:id="63" w:name="_Toc179632546"/>
            <w:bookmarkStart w:id="64" w:name="_Toc324404815"/>
            <w:bookmarkStart w:id="65" w:name="_Toc506107269"/>
            <w:bookmarkStart w:id="66" w:name="_Toc246996175"/>
            <w:bookmarkStart w:id="67" w:name="_Toc152045529"/>
            <w:bookmarkStart w:id="68" w:name="_Toc78803322"/>
            <w:bookmarkStart w:id="69" w:name="_Toc35424887"/>
            <w:r>
              <w:rPr>
                <w:rFonts w:hint="eastAsia" w:cs="Times New Roman"/>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cs="Times New Roman"/>
                <w:b/>
                <w:bCs w:val="0"/>
                <w:color w:val="auto"/>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color w:val="auto"/>
                <w:highlight w:val="none"/>
                <w:lang w:val="en-US" w:eastAsia="zh-CN"/>
              </w:rPr>
            </w:pPr>
            <w:r>
              <w:rPr>
                <w:rFonts w:hint="eastAsia" w:cs="Times New Roman"/>
                <w:color w:val="auto"/>
                <w:highlight w:val="none"/>
                <w:lang w:val="en-US" w:eastAsia="zh-CN"/>
              </w:rPr>
              <w:t>滁州至南京城际铁路（滁州段）多站点廉洁主题设计施工一体化项目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ascii="宋体" w:hAnsi="宋体" w:eastAsia="宋体" w:cs="Times New Roman"/>
                <w:color w:val="auto"/>
                <w:highlight w:val="none"/>
                <w:lang w:val="en-US"/>
              </w:rPr>
            </w:pPr>
            <w:r>
              <w:rPr>
                <w:rFonts w:hint="eastAsia" w:cs="Times New Roman"/>
                <w:color w:val="auto"/>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color w:val="auto"/>
                <w:highlight w:val="none"/>
                <w:lang w:val="en-US" w:eastAsia="zh-CN"/>
              </w:rPr>
            </w:pPr>
            <w:r>
              <w:rPr>
                <w:rFonts w:hint="eastAsia" w:ascii="宋体" w:hAnsi="宋体" w:eastAsia="宋体" w:cs="宋体"/>
                <w:color w:val="auto"/>
                <w:kern w:val="2"/>
                <w:sz w:val="21"/>
                <w:szCs w:val="21"/>
                <w:highlight w:val="none"/>
                <w:u w:color="000000"/>
                <w:lang w:val="en-US" w:eastAsia="zh-CN" w:bidi="ar"/>
              </w:rPr>
              <w:t>详见第一章</w:t>
            </w:r>
            <w:r>
              <w:rPr>
                <w:rFonts w:hint="eastAsia" w:ascii="ˎ̥" w:hAnsi="ˎ̥" w:eastAsia="宋体" w:cs="宋体"/>
                <w:color w:val="auto"/>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val="en-US" w:eastAsia="zh-CN"/>
              </w:rPr>
              <w:t>建项目</w:t>
            </w:r>
            <w:r>
              <w:rPr>
                <w:rFonts w:cs="Times New Roman"/>
                <w:color w:val="auto"/>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auto"/>
                <w:highlight w:val="none"/>
                <w:lang w:val="en-US"/>
              </w:rPr>
            </w:pPr>
            <w:r>
              <w:rPr>
                <w:rFonts w:hint="eastAsia" w:ascii="宋体" w:hAnsi="宋体" w:eastAsia="宋体" w:cs="宋体"/>
                <w:color w:val="auto"/>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杨雅辰</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rPr>
              <w:t xml:space="preserve">周蓓蕾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default" w:ascii="宋体" w:hAnsi="宋体" w:eastAsia="宋体" w:cs="宋体"/>
                <w:bCs/>
                <w:color w:val="auto"/>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600000.00元（</w:t>
            </w:r>
            <w:r>
              <w:rPr>
                <w:rFonts w:hint="eastAsia" w:ascii="宋体" w:hAnsi="宋体" w:cs="宋体"/>
                <w:bCs/>
                <w:color w:val="auto"/>
                <w:szCs w:val="21"/>
                <w:highlight w:val="yellow"/>
                <w:lang w:val="en-US" w:eastAsia="zh-CN"/>
              </w:rPr>
              <w:t>不</w:t>
            </w:r>
            <w:r>
              <w:rPr>
                <w:rFonts w:hint="eastAsia" w:ascii="宋体" w:hAnsi="宋体" w:eastAsia="宋体" w:cs="宋体"/>
                <w:bCs/>
                <w:color w:val="auto"/>
                <w:szCs w:val="21"/>
                <w:highlight w:val="yellow"/>
                <w:lang w:val="en-US" w:eastAsia="zh-CN"/>
              </w:rPr>
              <w:t>含税</w:t>
            </w:r>
            <w:r>
              <w:rPr>
                <w:rFonts w:hint="eastAsia" w:ascii="宋体" w:hAnsi="宋体" w:cs="宋体"/>
                <w:bCs/>
                <w:color w:val="auto"/>
                <w:szCs w:val="21"/>
                <w:highlight w:val="none"/>
                <w:lang w:val="en-US" w:eastAsia="zh-CN"/>
              </w:rPr>
              <w:t>）</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color w:val="auto"/>
                <w:highlight w:val="none"/>
                <w:lang w:val="en-US" w:eastAsia="zh-CN"/>
              </w:rPr>
            </w:pPr>
            <w:r>
              <w:rPr>
                <w:rFonts w:cs="Times New Roman"/>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本项目最高限价为（人民币）600000.00元（</w:t>
            </w:r>
            <w:r>
              <w:rPr>
                <w:rFonts w:hint="eastAsia" w:ascii="宋体" w:hAnsi="宋体" w:cs="宋体"/>
                <w:bCs/>
                <w:color w:val="auto"/>
                <w:szCs w:val="21"/>
                <w:highlight w:val="yellow"/>
                <w:lang w:val="en-US" w:eastAsia="zh-CN"/>
              </w:rPr>
              <w:t>不</w:t>
            </w:r>
            <w:r>
              <w:rPr>
                <w:rFonts w:hint="eastAsia" w:ascii="宋体" w:hAnsi="宋体" w:eastAsia="宋体" w:cs="宋体"/>
                <w:bCs/>
                <w:color w:val="auto"/>
                <w:szCs w:val="21"/>
                <w:highlight w:val="yellow"/>
                <w:lang w:val="en-US" w:eastAsia="zh-CN"/>
              </w:rPr>
              <w:t>含税</w:t>
            </w:r>
            <w:r>
              <w:rPr>
                <w:rFonts w:hint="eastAsia" w:ascii="宋体" w:hAnsi="宋体" w:eastAsia="宋体" w:cs="宋体"/>
                <w:bCs/>
                <w:color w:val="auto"/>
                <w:szCs w:val="21"/>
                <w:highlight w:val="none"/>
                <w:lang w:val="en-US" w:eastAsia="zh-CN"/>
              </w:rPr>
              <w:t>），投标报价不得超过最高限价，否则按无效投标处理。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val="en-US" w:eastAsia="zh-CN"/>
              </w:rPr>
              <w:t>详见</w:t>
            </w:r>
            <w:r>
              <w:rPr>
                <w:rFonts w:hint="eastAsia" w:hAnsi="宋体" w:cs="宋体"/>
                <w:bCs/>
                <w:color w:val="auto"/>
                <w:szCs w:val="21"/>
                <w:highlight w:val="none"/>
              </w:rPr>
              <w:t>《</w:t>
            </w:r>
            <w:r>
              <w:rPr>
                <w:rFonts w:hint="eastAsia" w:cs="宋体"/>
                <w:bCs/>
                <w:color w:val="auto"/>
                <w:szCs w:val="21"/>
                <w:highlight w:val="none"/>
                <w:lang w:val="en-US" w:eastAsia="zh-CN"/>
              </w:rPr>
              <w:t>采购需求</w:t>
            </w:r>
            <w:r>
              <w:rPr>
                <w:rFonts w:hint="eastAsia" w:hAnsi="宋体" w:cs="宋体"/>
                <w:bCs/>
                <w:color w:val="auto"/>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color w:val="auto"/>
                <w:highlight w:val="none"/>
                <w:lang w:val="en-US" w:eastAsia="zh-CN"/>
              </w:rPr>
            </w:pPr>
            <w:r>
              <w:rPr>
                <w:rFonts w:cs="Times New Roman"/>
                <w:color w:val="auto"/>
                <w:highlight w:val="none"/>
              </w:rPr>
              <w:t>本项目划分为</w:t>
            </w:r>
            <w:r>
              <w:rPr>
                <w:rFonts w:cs="Times New Roman"/>
                <w:color w:val="auto"/>
                <w:highlight w:val="none"/>
                <w:u w:val="single"/>
                <w:lang w:val="en-US"/>
              </w:rPr>
              <w:t xml:space="preserve"> 1 </w:t>
            </w:r>
            <w:r>
              <w:rPr>
                <w:rFonts w:cs="Times New Roman"/>
                <w:color w:val="auto"/>
                <w:highlight w:val="none"/>
              </w:rPr>
              <w:t>个标</w:t>
            </w:r>
            <w:r>
              <w:rPr>
                <w:rFonts w:hint="eastAsia" w:cs="Times New Roman"/>
                <w:color w:val="auto"/>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宋体"/>
                <w:color w:val="auto"/>
                <w:highlight w:val="none"/>
              </w:rPr>
              <w:t>公开</w:t>
            </w:r>
            <w:r>
              <w:rPr>
                <w:rFonts w:cs="Times New Roman"/>
                <w:color w:val="auto"/>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详见第一章“招标公告”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D989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组织，踏勘时间：</w:t>
            </w:r>
            <w:r>
              <w:rPr>
                <w:rFonts w:hint="eastAsia" w:ascii="宋体" w:hAnsi="宋体" w:cs="宋体"/>
                <w:color w:val="auto"/>
                <w:kern w:val="2"/>
                <w:sz w:val="21"/>
                <w:szCs w:val="21"/>
                <w:highlight w:val="none"/>
                <w:u w:color="000000"/>
                <w:lang w:val="en-US" w:eastAsia="zh-CN" w:bidi="ar"/>
              </w:rPr>
              <w:t>2026年8月4日8时30分</w:t>
            </w:r>
          </w:p>
          <w:p w14:paraId="693454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 xml:space="preserve">      踏勘集中地点：苏滁商务中心站1号口</w:t>
            </w:r>
          </w:p>
          <w:p w14:paraId="62139B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firstLine="630" w:firstLineChars="30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联系人及联系电话：杨雅辰 13339207910</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投标人提出</w:t>
            </w:r>
            <w:r>
              <w:rPr>
                <w:rFonts w:cs="Times New Roman"/>
                <w:color w:val="auto"/>
                <w:highlight w:val="none"/>
                <w:u w:val="single"/>
              </w:rPr>
              <w:t>疑问</w:t>
            </w:r>
            <w:r>
              <w:rPr>
                <w:rFonts w:cs="Times New Roman"/>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color w:val="auto"/>
                <w:highlight w:val="none"/>
                <w:lang w:val="en-US"/>
              </w:rPr>
            </w:pPr>
            <w:r>
              <w:rPr>
                <w:rFonts w:hint="eastAsia" w:ascii="宋体" w:hAnsi="宋体" w:eastAsia="宋体" w:cs="宋体"/>
                <w:b w:val="0"/>
                <w:bCs w:val="0"/>
                <w:color w:val="auto"/>
                <w:highlight w:val="none"/>
              </w:rPr>
              <w:t>如投标人对招标文件有疑问，请于</w:t>
            </w:r>
            <w:r>
              <w:rPr>
                <w:rFonts w:hint="eastAsia" w:ascii="宋体" w:hAnsi="宋体" w:eastAsia="宋体" w:cs="宋体"/>
                <w:b w:val="0"/>
                <w:bCs w:val="0"/>
                <w:color w:val="auto"/>
                <w:highlight w:val="none"/>
                <w:lang w:val="en-US"/>
              </w:rPr>
              <w:t>202</w:t>
            </w:r>
            <w:r>
              <w:rPr>
                <w:rFonts w:hint="eastAsia" w:ascii="宋体" w:hAnsi="宋体" w:cs="宋体"/>
                <w:b w:val="0"/>
                <w:bCs w:val="0"/>
                <w:color w:val="auto"/>
                <w:highlight w:val="none"/>
                <w:lang w:val="en-US" w:eastAsia="zh-CN"/>
              </w:rPr>
              <w:t>6</w:t>
            </w:r>
            <w:r>
              <w:rPr>
                <w:rFonts w:hint="eastAsia" w:ascii="宋体" w:hAnsi="宋体" w:eastAsia="宋体" w:cs="宋体"/>
                <w:b w:val="0"/>
                <w:bCs w:val="0"/>
                <w:color w:val="auto"/>
                <w:highlight w:val="none"/>
              </w:rPr>
              <w:t>年</w:t>
            </w:r>
            <w:r>
              <w:rPr>
                <w:rFonts w:hint="eastAsia" w:ascii="宋体" w:hAnsi="宋体" w:cs="宋体"/>
                <w:b w:val="0"/>
                <w:bCs w:val="0"/>
                <w:color w:val="auto"/>
                <w:highlight w:val="none"/>
                <w:lang w:val="en-US" w:eastAsia="zh-CN"/>
              </w:rPr>
              <w:t>8</w:t>
            </w:r>
            <w:r>
              <w:rPr>
                <w:rFonts w:hint="eastAsia" w:ascii="宋体" w:hAnsi="宋体" w:eastAsia="宋体" w:cs="宋体"/>
                <w:b w:val="0"/>
                <w:bCs w:val="0"/>
                <w:color w:val="auto"/>
                <w:highlight w:val="none"/>
              </w:rPr>
              <w:t>月</w:t>
            </w:r>
            <w:r>
              <w:rPr>
                <w:rFonts w:hint="eastAsia" w:ascii="宋体" w:hAnsi="宋体" w:cs="宋体"/>
                <w:b w:val="0"/>
                <w:bCs w:val="0"/>
                <w:color w:val="auto"/>
                <w:highlight w:val="none"/>
                <w:lang w:val="en-US" w:eastAsia="zh-CN"/>
              </w:rPr>
              <w:t>8</w:t>
            </w:r>
            <w:r>
              <w:rPr>
                <w:rFonts w:hint="eastAsia" w:ascii="宋体" w:hAnsi="宋体" w:eastAsia="宋体" w:cs="宋体"/>
                <w:b w:val="0"/>
                <w:bCs w:val="0"/>
                <w:color w:val="auto"/>
                <w:highlight w:val="none"/>
              </w:rPr>
              <w:t>日</w:t>
            </w:r>
            <w:r>
              <w:rPr>
                <w:rFonts w:hint="eastAsia" w:ascii="宋体" w:hAnsi="宋体" w:eastAsia="宋体" w:cs="宋体"/>
                <w:b w:val="0"/>
                <w:bCs w:val="0"/>
                <w:color w:val="auto"/>
                <w:highlight w:val="none"/>
                <w:lang w:val="en-US"/>
              </w:rPr>
              <w:t>17</w:t>
            </w:r>
            <w:r>
              <w:rPr>
                <w:rFonts w:hint="eastAsia" w:ascii="宋体" w:hAnsi="宋体" w:eastAsia="宋体" w:cs="宋体"/>
                <w:b w:val="0"/>
                <w:bCs w:val="0"/>
                <w:color w:val="auto"/>
                <w:highlight w:val="none"/>
              </w:rPr>
              <w:t>时前将疑问内容以书面的形式加盖投标单位公章，发送至滁州市城投工程咨询管理有限公司邮箱（</w:t>
            </w:r>
            <w:r>
              <w:rPr>
                <w:rFonts w:hint="eastAsia" w:ascii="宋体" w:hAnsi="宋体" w:eastAsia="宋体" w:cs="宋体"/>
                <w:b w:val="0"/>
                <w:bCs w:val="0"/>
                <w:color w:val="auto"/>
                <w:highlight w:val="none"/>
                <w:lang w:val="en-US"/>
              </w:rPr>
              <w:t>czsctzx@163.com</w:t>
            </w:r>
            <w:r>
              <w:rPr>
                <w:rFonts w:hint="eastAsia" w:ascii="宋体" w:hAnsi="宋体" w:eastAsia="宋体" w:cs="宋体"/>
                <w:b w:val="0"/>
                <w:bCs w:val="0"/>
                <w:color w:val="auto"/>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color w:val="auto"/>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w:t>
            </w:r>
            <w:r>
              <w:rPr>
                <w:rFonts w:hint="eastAsia" w:ascii="宋体" w:hAnsi="宋体" w:cs="宋体"/>
                <w:b w:val="0"/>
                <w:bCs w:val="0"/>
                <w:color w:val="auto"/>
                <w:kern w:val="2"/>
                <w:sz w:val="21"/>
                <w:szCs w:val="21"/>
                <w:highlight w:val="none"/>
                <w:u w:color="auto"/>
                <w:lang w:val="en-US" w:eastAsia="zh-CN" w:bidi="ar"/>
              </w:rPr>
              <w:t>6</w:t>
            </w:r>
            <w:r>
              <w:rPr>
                <w:rFonts w:hint="eastAsia" w:ascii="宋体" w:hAnsi="宋体" w:eastAsia="宋体" w:cs="宋体"/>
                <w:b w:val="0"/>
                <w:bCs w:val="0"/>
                <w:color w:val="auto"/>
                <w:kern w:val="2"/>
                <w:sz w:val="21"/>
                <w:szCs w:val="21"/>
                <w:highlight w:val="none"/>
                <w:u w:color="auto"/>
                <w:lang w:val="en-US" w:eastAsia="zh-CN" w:bidi="ar"/>
              </w:rPr>
              <w:t>年</w:t>
            </w:r>
            <w:r>
              <w:rPr>
                <w:rFonts w:hint="eastAsia" w:ascii="宋体" w:hAnsi="宋体" w:cs="宋体"/>
                <w:b w:val="0"/>
                <w:bCs w:val="0"/>
                <w:color w:val="auto"/>
                <w:kern w:val="2"/>
                <w:sz w:val="21"/>
                <w:szCs w:val="21"/>
                <w:highlight w:val="none"/>
                <w:u w:color="auto"/>
                <w:lang w:val="en-US" w:eastAsia="zh-CN" w:bidi="ar"/>
              </w:rPr>
              <w:t>8</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10</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auto"/>
                <w:kern w:val="2"/>
                <w:sz w:val="21"/>
                <w:szCs w:val="21"/>
                <w:highlight w:val="none"/>
                <w:u w:color="000000"/>
                <w:lang w:val="en-US" w:eastAsia="zh-CN" w:bidi="ar"/>
              </w:rPr>
              <w:t>以澄清公告形式在</w:t>
            </w:r>
            <w:r>
              <w:rPr>
                <w:rFonts w:hint="eastAsia" w:ascii="宋体" w:hAnsi="宋体" w:eastAsia="宋体" w:cs="宋体"/>
                <w:color w:val="auto"/>
                <w:szCs w:val="21"/>
                <w:highlight w:val="none"/>
                <w:lang w:eastAsia="zh-CN"/>
              </w:rPr>
              <w:t>滁州市滁宁城际铁路开发建设有限公司</w:t>
            </w:r>
            <w:r>
              <w:rPr>
                <w:rFonts w:hint="eastAsia" w:ascii="宋体" w:hAnsi="宋体" w:eastAsia="宋体" w:cs="宋体"/>
                <w:color w:val="auto"/>
                <w:szCs w:val="21"/>
                <w:highlight w:val="none"/>
                <w:lang w:val="en-US" w:eastAsia="zh-CN"/>
              </w:rPr>
              <w:t>网站</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http://czctgs.cn/</w:t>
            </w:r>
            <w:r>
              <w:rPr>
                <w:rFonts w:hint="eastAsia" w:ascii="宋体" w:hAnsi="宋体" w:eastAsia="宋体" w:cs="宋体"/>
                <w:color w:val="auto"/>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代理服务费金额：招标代理费</w:t>
            </w:r>
            <w:r>
              <w:rPr>
                <w:rFonts w:hint="eastAsia" w:ascii="宋体" w:hAnsi="宋体" w:cs="宋体"/>
                <w:color w:val="auto"/>
                <w:kern w:val="2"/>
                <w:sz w:val="21"/>
                <w:szCs w:val="21"/>
                <w:highlight w:val="none"/>
                <w:u w:color="000000"/>
                <w:lang w:val="en-US" w:eastAsia="zh-CN" w:bidi="ar"/>
              </w:rPr>
              <w:t>3000</w:t>
            </w:r>
            <w:r>
              <w:rPr>
                <w:rFonts w:hint="eastAsia" w:ascii="宋体" w:hAnsi="宋体" w:eastAsia="宋体" w:cs="宋体"/>
                <w:color w:val="auto"/>
                <w:kern w:val="2"/>
                <w:sz w:val="21"/>
                <w:szCs w:val="21"/>
                <w:highlight w:val="none"/>
                <w:u w:color="000000"/>
                <w:lang w:val="en-US" w:eastAsia="zh-CN" w:bidi="ar"/>
              </w:rPr>
              <w:t>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投标有效期为</w:t>
            </w:r>
            <w:r>
              <w:rPr>
                <w:rFonts w:cs="Times New Roman"/>
                <w:color w:val="auto"/>
                <w:highlight w:val="none"/>
                <w:u w:val="single"/>
                <w:lang w:val="en-US"/>
              </w:rPr>
              <w:t xml:space="preserve"> </w:t>
            </w:r>
            <w:r>
              <w:rPr>
                <w:rFonts w:hint="eastAsia" w:cs="Times New Roman"/>
                <w:color w:val="auto"/>
                <w:highlight w:val="none"/>
                <w:u w:val="single"/>
                <w:lang w:val="en-US" w:eastAsia="zh-CN"/>
              </w:rPr>
              <w:t>6</w:t>
            </w:r>
            <w:r>
              <w:rPr>
                <w:rFonts w:cs="Times New Roman"/>
                <w:color w:val="auto"/>
                <w:highlight w:val="none"/>
                <w:u w:val="single"/>
                <w:lang w:val="en-US"/>
              </w:rPr>
              <w:t xml:space="preserve">0 </w:t>
            </w:r>
            <w:r>
              <w:rPr>
                <w:rFonts w:cs="Times New Roman"/>
                <w:color w:val="auto"/>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color w:val="auto"/>
                <w:szCs w:val="21"/>
                <w:highlight w:val="none"/>
              </w:rPr>
              <w:t>投标文件</w:t>
            </w:r>
            <w:r>
              <w:rPr>
                <w:rFonts w:hint="eastAsia" w:ascii="宋体" w:hAnsi="宋体" w:cs="宋体"/>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18</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0分</w:t>
            </w:r>
            <w:r>
              <w:rPr>
                <w:rFonts w:hint="eastAsia" w:ascii="宋体" w:hAnsi="宋体" w:cs="宋体"/>
                <w:bCs/>
                <w:color w:val="auto"/>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color w:val="auto"/>
                <w:highlight w:val="none"/>
                <w:lang w:val="en-US" w:eastAsia="zh-CN"/>
              </w:rPr>
            </w:pPr>
            <w:r>
              <w:rPr>
                <w:rFonts w:hint="eastAsia" w:ascii="宋体" w:hAnsi="宋体" w:eastAsia="宋体" w:cs="宋体"/>
                <w:color w:val="auto"/>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开标时间：202</w:t>
            </w:r>
            <w:r>
              <w:rPr>
                <w:rFonts w:hint="eastAsia" w:ascii="宋体" w:hAnsi="宋体" w:cs="宋体"/>
                <w:color w:val="auto"/>
                <w:kern w:val="2"/>
                <w:sz w:val="21"/>
                <w:szCs w:val="21"/>
                <w:highlight w:val="none"/>
                <w:u w:color="000000"/>
                <w:lang w:val="en-US" w:eastAsia="zh-CN" w:bidi="ar"/>
              </w:rPr>
              <w:t>6</w:t>
            </w:r>
            <w:r>
              <w:rPr>
                <w:rFonts w:hint="eastAsia" w:ascii="宋体" w:hAnsi="宋体" w:eastAsia="宋体" w:cs="宋体"/>
                <w:color w:val="auto"/>
                <w:kern w:val="2"/>
                <w:sz w:val="21"/>
                <w:szCs w:val="21"/>
                <w:highlight w:val="none"/>
                <w:u w:color="000000"/>
                <w:lang w:val="en-US" w:eastAsia="zh-CN" w:bidi="ar"/>
              </w:rPr>
              <w:t>年</w:t>
            </w:r>
            <w:r>
              <w:rPr>
                <w:rFonts w:hint="eastAsia" w:ascii="宋体" w:hAnsi="宋体" w:cs="宋体"/>
                <w:color w:val="auto"/>
                <w:kern w:val="2"/>
                <w:sz w:val="21"/>
                <w:szCs w:val="21"/>
                <w:highlight w:val="none"/>
                <w:u w:color="000000"/>
                <w:lang w:val="en-US" w:eastAsia="zh-CN" w:bidi="ar"/>
              </w:rPr>
              <w:t>8</w:t>
            </w:r>
            <w:r>
              <w:rPr>
                <w:rFonts w:hint="eastAsia" w:ascii="宋体" w:hAnsi="宋体" w:eastAsia="宋体" w:cs="宋体"/>
                <w:color w:val="auto"/>
                <w:kern w:val="2"/>
                <w:sz w:val="21"/>
                <w:szCs w:val="21"/>
                <w:highlight w:val="none"/>
                <w:u w:color="000000"/>
                <w:lang w:val="en-US" w:eastAsia="zh-CN" w:bidi="ar"/>
              </w:rPr>
              <w:t>月</w:t>
            </w:r>
            <w:r>
              <w:rPr>
                <w:rFonts w:hint="eastAsia" w:ascii="宋体" w:hAnsi="宋体" w:cs="宋体"/>
                <w:color w:val="auto"/>
                <w:kern w:val="2"/>
                <w:sz w:val="21"/>
                <w:szCs w:val="21"/>
                <w:highlight w:val="none"/>
                <w:u w:color="000000"/>
                <w:lang w:val="en-US" w:eastAsia="zh-CN" w:bidi="ar"/>
              </w:rPr>
              <w:t>18</w:t>
            </w:r>
            <w:r>
              <w:rPr>
                <w:rFonts w:hint="eastAsia" w:ascii="宋体" w:hAnsi="宋体" w:eastAsia="宋体" w:cs="宋体"/>
                <w:color w:val="auto"/>
                <w:kern w:val="2"/>
                <w:sz w:val="21"/>
                <w:szCs w:val="21"/>
                <w:highlight w:val="none"/>
                <w:u w:color="000000"/>
                <w:lang w:val="en-US" w:eastAsia="zh-CN" w:bidi="ar"/>
              </w:rPr>
              <w:t>日</w:t>
            </w:r>
            <w:r>
              <w:rPr>
                <w:rFonts w:hint="eastAsia" w:ascii="宋体" w:hAnsi="宋体" w:cs="宋体"/>
                <w:color w:val="auto"/>
                <w:kern w:val="2"/>
                <w:sz w:val="21"/>
                <w:szCs w:val="21"/>
                <w:highlight w:val="none"/>
                <w:u w:color="000000"/>
                <w:lang w:val="en-US" w:eastAsia="zh-CN" w:bidi="ar"/>
              </w:rPr>
              <w:t>9</w:t>
            </w:r>
            <w:r>
              <w:rPr>
                <w:rFonts w:hint="eastAsia" w:ascii="宋体" w:hAnsi="宋体" w:eastAsia="宋体" w:cs="宋体"/>
                <w:color w:val="auto"/>
                <w:kern w:val="2"/>
                <w:sz w:val="21"/>
                <w:szCs w:val="21"/>
                <w:highlight w:val="none"/>
                <w:u w:color="000000"/>
                <w:lang w:val="en-US" w:eastAsia="zh-CN" w:bidi="ar"/>
              </w:rPr>
              <w:t>时</w:t>
            </w:r>
            <w:r>
              <w:rPr>
                <w:rFonts w:hint="eastAsia" w:ascii="宋体" w:hAnsi="宋体" w:cs="宋体"/>
                <w:color w:val="auto"/>
                <w:kern w:val="2"/>
                <w:sz w:val="21"/>
                <w:szCs w:val="21"/>
                <w:highlight w:val="none"/>
                <w:u w:color="000000"/>
                <w:lang w:val="en-US" w:eastAsia="zh-CN" w:bidi="ar"/>
              </w:rPr>
              <w:t>0</w:t>
            </w:r>
            <w:r>
              <w:rPr>
                <w:rFonts w:hint="eastAsia" w:ascii="宋体" w:hAnsi="宋体" w:eastAsia="宋体" w:cs="宋体"/>
                <w:color w:val="auto"/>
                <w:kern w:val="2"/>
                <w:sz w:val="21"/>
                <w:szCs w:val="21"/>
                <w:highlight w:val="none"/>
                <w:u w:color="000000"/>
                <w:lang w:val="en-US" w:eastAsia="zh-CN" w:bidi="ar"/>
              </w:rPr>
              <w:t>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开标地点：滁州市龙蟠大道109号（房产商务大厦）6楼622会议室</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color w:val="auto"/>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color w:val="auto"/>
                <w:szCs w:val="21"/>
                <w:highlight w:val="none"/>
              </w:rPr>
            </w:pPr>
            <w:r>
              <w:rPr>
                <w:rFonts w:cs="Times New Roman"/>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color w:val="auto"/>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是否收取履约担保：☑收取，□不收取 </w:t>
            </w:r>
          </w:p>
          <w:p w14:paraId="7F11DB0C">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中标合同金额</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10%</w:t>
            </w:r>
          </w:p>
          <w:p w14:paraId="0AB68E0F">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306BED3">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缴纳时限：中标人须在中标通知书发出后30日内完成履约担保缴纳及合同签订，如未按期交齐履约保证金或未按期签订合同的，视同放弃中标资格。</w:t>
            </w:r>
          </w:p>
          <w:p w14:paraId="7E2E96B9">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退还时限：中标人在本合同约定的服务期限届满并经招标人验收合格后30日内办理履约保证金（或履约保函）退还手续。 </w:t>
            </w:r>
          </w:p>
          <w:p w14:paraId="78D2EB15">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CE1C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auto"/>
                <w:kern w:val="2"/>
                <w:sz w:val="21"/>
                <w:szCs w:val="21"/>
                <w:highlight w:val="none"/>
                <w:u w:color="000000"/>
                <w:lang w:val="en-US" w:eastAsia="zh-CN" w:bidi="ar"/>
              </w:rPr>
              <w:t>提交设计成果文件并进场施工后支付至合同价款的10%；施工完成并经招标人验收合格后支付至结算价款的95%；剩余5%待项目竣工验收合格满2年后一次性付清。</w:t>
            </w:r>
            <w:r>
              <w:rPr>
                <w:rFonts w:hint="eastAsia" w:ascii="宋体" w:hAnsi="宋体" w:eastAsia="宋体" w:cs="宋体"/>
                <w:color w:val="auto"/>
                <w:kern w:val="2"/>
                <w:sz w:val="21"/>
                <w:szCs w:val="21"/>
                <w:highlight w:val="yellow"/>
                <w:u w:color="000000"/>
                <w:lang w:val="en-US" w:eastAsia="zh-CN" w:bidi="ar"/>
              </w:rPr>
              <w:t>中标价为不含税价格，过程支付以及结算时，中标人应按国家相关规定缴纳税金，税金按照实际纳入过程支付以及结算。</w:t>
            </w:r>
          </w:p>
        </w:tc>
      </w:tr>
      <w:tr w14:paraId="3A4663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D4928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重要说明</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A40CE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1、</w:t>
            </w:r>
            <w:r>
              <w:rPr>
                <w:rFonts w:hint="eastAsia" w:ascii="宋体" w:hAnsi="宋体" w:eastAsia="宋体" w:cs="宋体"/>
                <w:color w:val="auto"/>
                <w:kern w:val="2"/>
                <w:sz w:val="21"/>
                <w:szCs w:val="21"/>
                <w:highlight w:val="none"/>
                <w:u w:color="000000"/>
                <w:lang w:val="en-US" w:eastAsia="zh-CN" w:bidi="ar"/>
              </w:rPr>
              <w:t>考虑本次投标单位在投标过程中投标成本较高，经招标人研究决定，中标人因承担了本项目设计业务，不予补偿，未中标的中标候选人分别给予方案补偿（</w:t>
            </w:r>
            <w:r>
              <w:rPr>
                <w:rFonts w:hint="eastAsia" w:ascii="宋体" w:hAnsi="宋体" w:cs="宋体"/>
                <w:color w:val="auto"/>
                <w:kern w:val="2"/>
                <w:sz w:val="21"/>
                <w:szCs w:val="21"/>
                <w:highlight w:val="none"/>
                <w:u w:color="000000"/>
                <w:lang w:val="en-US" w:eastAsia="zh-CN" w:bidi="ar"/>
              </w:rPr>
              <w:t>其中第二中标候选人</w:t>
            </w:r>
            <w:r>
              <w:rPr>
                <w:rFonts w:hint="eastAsia" w:ascii="宋体" w:hAnsi="宋体" w:eastAsia="宋体" w:cs="宋体"/>
                <w:color w:val="auto"/>
                <w:kern w:val="2"/>
                <w:sz w:val="21"/>
                <w:szCs w:val="21"/>
                <w:highlight w:val="none"/>
                <w:u w:color="000000"/>
                <w:lang w:val="en-US" w:eastAsia="zh-CN" w:bidi="ar"/>
              </w:rPr>
              <w:t>给予人民币2000元的方案补偿；</w:t>
            </w:r>
            <w:r>
              <w:rPr>
                <w:rFonts w:hint="eastAsia" w:ascii="宋体" w:hAnsi="宋体" w:cs="宋体"/>
                <w:color w:val="auto"/>
                <w:kern w:val="2"/>
                <w:sz w:val="21"/>
                <w:szCs w:val="21"/>
                <w:highlight w:val="none"/>
                <w:u w:color="000000"/>
                <w:lang w:val="en-US" w:eastAsia="zh-CN" w:bidi="ar"/>
              </w:rPr>
              <w:t>第三中标候选人</w:t>
            </w:r>
            <w:r>
              <w:rPr>
                <w:rFonts w:hint="eastAsia" w:ascii="宋体" w:hAnsi="宋体" w:eastAsia="宋体" w:cs="宋体"/>
                <w:color w:val="auto"/>
                <w:kern w:val="2"/>
                <w:sz w:val="21"/>
                <w:szCs w:val="21"/>
                <w:highlight w:val="none"/>
                <w:u w:color="000000"/>
                <w:lang w:val="en-US" w:eastAsia="zh-CN" w:bidi="ar"/>
              </w:rPr>
              <w:t>给予人民币1000元的方案补偿；此费用中标人在中标通知书发出之日起10日内支付，含在投标报价中），上述费用应含在投标报价中，投标人在投标报价让利中考虑上述费用。</w:t>
            </w:r>
          </w:p>
          <w:p w14:paraId="46BC399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2、</w:t>
            </w:r>
            <w:r>
              <w:rPr>
                <w:rFonts w:hint="eastAsia" w:ascii="宋体" w:hAnsi="宋体" w:eastAsia="宋体" w:cs="宋体"/>
                <w:color w:val="auto"/>
                <w:kern w:val="2"/>
                <w:sz w:val="21"/>
                <w:szCs w:val="21"/>
                <w:highlight w:val="none"/>
                <w:u w:color="000000"/>
                <w:lang w:val="en-US" w:eastAsia="zh-CN" w:bidi="ar"/>
              </w:rPr>
              <w:t>未中标的中标候选人的设计成果文件归招标人所有。其他投标人不进行任何设计补偿和奖励。</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1、评标委员会只依靠投标人递交的投标文件及其按照招标文件要求提供的所有证明材料进行评审，而不依靠任何外来的证明材料。</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3、本项目严禁非法转包，一经发现，招标人依法处理。</w:t>
            </w:r>
          </w:p>
        </w:tc>
      </w:tr>
    </w:tbl>
    <w:p w14:paraId="735D540F">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8"/>
          <w:szCs w:val="28"/>
          <w:highlight w:val="none"/>
          <w:lang w:val="en-US"/>
        </w:rPr>
      </w:pPr>
      <w:bookmarkStart w:id="70" w:name="_Toc14421_WPSOffice_Level3"/>
      <w:bookmarkStart w:id="71" w:name="_Toc324404864"/>
      <w:bookmarkStart w:id="72" w:name="_Toc506107317"/>
      <w:bookmarkStart w:id="73" w:name="_Toc35425105"/>
      <w:bookmarkStart w:id="74" w:name="_Toc35424939"/>
      <w:bookmarkStart w:id="75" w:name="_Toc15058902"/>
      <w:bookmarkStart w:id="76" w:name="_Toc296602475"/>
      <w:r>
        <w:rPr>
          <w:rFonts w:hint="eastAsia" w:ascii="宋体" w:hAnsi="宋体" w:eastAsia="宋体" w:cs="宋体"/>
          <w:b/>
          <w:bCs w:val="0"/>
          <w:color w:val="auto"/>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宋体" w:cs="宋体"/>
          <w:color w:val="auto"/>
          <w:kern w:val="0"/>
          <w:sz w:val="21"/>
          <w:szCs w:val="21"/>
          <w:highlight w:val="none"/>
          <w:u w:color="000000"/>
          <w:lang w:val="en-US" w:eastAsia="zh-CN" w:bidi="ar"/>
        </w:rPr>
        <w:t>工期</w:t>
      </w:r>
      <w:r>
        <w:rPr>
          <w:rFonts w:hint="eastAsia" w:ascii="宋体" w:hAnsi="宋体" w:eastAsia="宋体" w:cs="宋体"/>
          <w:color w:val="auto"/>
          <w:kern w:val="0"/>
          <w:sz w:val="21"/>
          <w:szCs w:val="21"/>
          <w:highlight w:val="none"/>
          <w:u w:color="000000"/>
          <w:lang w:val="en-US" w:eastAsia="zh-CN" w:bidi="ar"/>
        </w:rPr>
        <w:t>：见投标人须知前附表。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宋体" w:cs="宋体"/>
          <w:color w:val="auto"/>
          <w:kern w:val="0"/>
          <w:sz w:val="21"/>
          <w:szCs w:val="21"/>
          <w:highlight w:val="none"/>
          <w:u w:color="000000"/>
          <w:lang w:val="en-US" w:eastAsia="zh-CN" w:bidi="ar"/>
        </w:rPr>
        <w:t>项目</w:t>
      </w:r>
      <w:r>
        <w:rPr>
          <w:rFonts w:hint="eastAsia" w:ascii="宋体" w:hAnsi="宋体" w:eastAsia="宋体" w:cs="宋体"/>
          <w:color w:val="auto"/>
          <w:kern w:val="0"/>
          <w:sz w:val="21"/>
          <w:szCs w:val="21"/>
          <w:highlight w:val="none"/>
          <w:u w:color="000000"/>
          <w:lang w:val="en-US" w:eastAsia="zh-CN" w:bidi="ar"/>
        </w:rPr>
        <w:t>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1.2招标人及联系人：见投标人须知前附表。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代理机构及联系人：见投标人须知前附表。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2.1采购内容：见投标人须知前附表。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2.2技术要求：详见</w:t>
      </w:r>
      <w:r>
        <w:rPr>
          <w:rFonts w:hint="eastAsia" w:cs="Times New Roman"/>
          <w:color w:val="auto"/>
          <w:highlight w:val="none"/>
          <w:lang w:val="en-US" w:eastAsia="zh-CN"/>
        </w:rPr>
        <w:t>《</w:t>
      </w:r>
      <w:r>
        <w:rPr>
          <w:rFonts w:hint="eastAsia" w:hAnsi="宋体" w:cs="宋体"/>
          <w:bCs/>
          <w:color w:val="auto"/>
          <w:szCs w:val="21"/>
          <w:highlight w:val="none"/>
          <w:lang w:eastAsia="zh-CN"/>
        </w:rPr>
        <w:t>采购需求</w:t>
      </w:r>
      <w:r>
        <w:rPr>
          <w:rFonts w:hint="eastAsia" w:cs="Times New Roman"/>
          <w:color w:val="auto"/>
          <w:highlight w:val="none"/>
          <w:lang w:val="en-US" w:eastAsia="zh-CN"/>
        </w:rPr>
        <w:t>》</w:t>
      </w:r>
      <w:r>
        <w:rPr>
          <w:rFonts w:hint="eastAsia" w:ascii="宋体" w:hAnsi="宋体" w:eastAsia="宋体" w:cs="宋体"/>
          <w:color w:val="auto"/>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w:t>
      </w:r>
      <w:r>
        <w:rPr>
          <w:rFonts w:hint="eastAsia" w:ascii="宋体" w:hAnsi="宋体" w:cs="宋体"/>
          <w:color w:val="auto"/>
          <w:kern w:val="0"/>
          <w:sz w:val="21"/>
          <w:szCs w:val="21"/>
          <w:highlight w:val="none"/>
          <w:u w:val="single" w:color="000000"/>
          <w:lang w:val="en-US" w:eastAsia="zh-CN" w:bidi="ar"/>
        </w:rPr>
        <w:t>总</w:t>
      </w:r>
      <w:r>
        <w:rPr>
          <w:rFonts w:hint="eastAsia" w:ascii="宋体" w:hAnsi="宋体" w:eastAsia="宋体" w:cs="宋体"/>
          <w:color w:val="auto"/>
          <w:kern w:val="0"/>
          <w:sz w:val="21"/>
          <w:szCs w:val="21"/>
          <w:highlight w:val="none"/>
          <w:u w:val="single" w:color="000000"/>
          <w:lang w:val="en-US" w:eastAsia="zh-CN" w:bidi="ar"/>
        </w:rPr>
        <w:t>价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color w:val="auto"/>
          <w:szCs w:val="21"/>
          <w:highlight w:val="none"/>
          <w:u w:val="single"/>
          <w:lang w:val="en-US" w:eastAsia="zh-CN"/>
        </w:rPr>
        <w:t>综合评估法</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9.</w:t>
      </w:r>
      <w:bookmarkStart w:id="77" w:name="_Toc247527563"/>
      <w:bookmarkEnd w:id="77"/>
      <w:bookmarkStart w:id="78" w:name="_Toc144974507"/>
      <w:bookmarkEnd w:id="78"/>
      <w:bookmarkStart w:id="79" w:name="_Toc296602429"/>
      <w:bookmarkEnd w:id="79"/>
      <w:bookmarkStart w:id="80" w:name="_Toc247513962"/>
      <w:bookmarkEnd w:id="80"/>
      <w:bookmarkStart w:id="81" w:name="_Toc152042315"/>
      <w:bookmarkEnd w:id="81"/>
      <w:bookmarkStart w:id="82" w:name="_Toc152045539"/>
      <w:bookmarkEnd w:id="82"/>
      <w:bookmarkStart w:id="83" w:name="_Toc247592876"/>
      <w:r>
        <w:rPr>
          <w:rFonts w:hint="eastAsia" w:ascii="宋体" w:hAnsi="宋体" w:eastAsia="宋体" w:cs="宋体"/>
          <w:b/>
          <w:bCs w:val="0"/>
          <w:color w:val="auto"/>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color w:val="auto"/>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 xml:space="preserve">10. </w:t>
      </w:r>
      <w:r>
        <w:rPr>
          <w:rFonts w:hint="eastAsia" w:ascii="宋体" w:hAnsi="宋体" w:eastAsia="宋体" w:cs="宋体"/>
          <w:b/>
          <w:bCs w:val="0"/>
          <w:color w:val="auto"/>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auto"/>
          <w:szCs w:val="21"/>
          <w:highlight w:val="none"/>
        </w:rPr>
      </w:pPr>
      <w:r>
        <w:rPr>
          <w:rFonts w:hint="eastAsia" w:ascii="宋体"/>
          <w:color w:val="auto"/>
          <w:szCs w:val="21"/>
          <w:highlight w:val="none"/>
        </w:rPr>
        <w:t>10.1投标人须知前附表规定召开投标预备会的，</w:t>
      </w:r>
      <w:r>
        <w:rPr>
          <w:rFonts w:hint="eastAsia" w:ascii="宋体"/>
          <w:color w:val="auto"/>
          <w:szCs w:val="21"/>
          <w:highlight w:val="none"/>
          <w:lang w:val="en-US" w:eastAsia="zh-CN"/>
        </w:rPr>
        <w:t>招标人</w:t>
      </w:r>
      <w:r>
        <w:rPr>
          <w:rFonts w:hint="eastAsia" w:ascii="宋体"/>
          <w:color w:val="auto"/>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11.1 </w:t>
      </w:r>
      <w:r>
        <w:rPr>
          <w:rFonts w:hint="eastAsia" w:ascii="宋体" w:hAnsi="宋体" w:eastAsia="宋体" w:cs="宋体"/>
          <w:color w:val="auto"/>
          <w:kern w:val="0"/>
          <w:sz w:val="21"/>
          <w:szCs w:val="21"/>
          <w:highlight w:val="none"/>
          <w:u w:color="000000"/>
          <w:lang w:val="en-US" w:eastAsia="zh-CN" w:bidi="ar"/>
        </w:rPr>
        <w:t>本次招标</w:t>
      </w:r>
      <w:r>
        <w:rPr>
          <w:rFonts w:hint="eastAsia" w:ascii="宋体" w:hAnsi="宋体" w:eastAsia="宋体" w:cs="宋体"/>
          <w:color w:val="auto"/>
          <w:kern w:val="0"/>
          <w:sz w:val="21"/>
          <w:szCs w:val="21"/>
          <w:highlight w:val="none"/>
          <w:u w:val="single" w:color="000000"/>
          <w:lang w:val="en-US" w:eastAsia="zh-CN" w:bidi="ar"/>
        </w:rPr>
        <w:t>不接受</w:t>
      </w:r>
      <w:r>
        <w:rPr>
          <w:rFonts w:hint="eastAsia" w:ascii="宋体" w:hAnsi="宋体" w:eastAsia="宋体" w:cs="宋体"/>
          <w:color w:val="auto"/>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12.1 </w:t>
      </w:r>
      <w:r>
        <w:rPr>
          <w:rFonts w:hint="eastAsia" w:ascii="宋体" w:hAnsi="宋体" w:eastAsia="宋体" w:cs="宋体"/>
          <w:color w:val="auto"/>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auto"/>
          <w:szCs w:val="21"/>
          <w:highlight w:val="none"/>
        </w:rPr>
      </w:pPr>
      <w:bookmarkStart w:id="84" w:name="_Toc24655"/>
      <w:bookmarkEnd w:id="84"/>
      <w:bookmarkStart w:id="85" w:name="_Toc10668_WPSOffice_Level3"/>
      <w:bookmarkEnd w:id="85"/>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auto"/>
          <w:szCs w:val="21"/>
          <w:highlight w:val="none"/>
        </w:rPr>
      </w:pPr>
      <w:r>
        <w:rPr>
          <w:rFonts w:hint="eastAsia" w:ascii="宋体"/>
          <w:color w:val="auto"/>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3</w:t>
      </w:r>
      <w:r>
        <w:rPr>
          <w:rFonts w:hint="eastAsia" w:ascii="宋体"/>
          <w:color w:val="auto"/>
          <w:szCs w:val="21"/>
          <w:highlight w:val="none"/>
        </w:rPr>
        <w:t xml:space="preserve"> 单位负责人为同一人或者存在直接控股、管理关系的不同</w:t>
      </w:r>
      <w:r>
        <w:rPr>
          <w:rFonts w:hint="eastAsia" w:ascii="宋体"/>
          <w:color w:val="auto"/>
          <w:szCs w:val="21"/>
          <w:highlight w:val="none"/>
          <w:lang w:eastAsia="zh-CN"/>
        </w:rPr>
        <w:t>投标人</w:t>
      </w:r>
      <w:r>
        <w:rPr>
          <w:rFonts w:hint="eastAsia" w:ascii="宋体"/>
          <w:color w:val="auto"/>
          <w:szCs w:val="21"/>
          <w:highlight w:val="none"/>
        </w:rPr>
        <w:t>，不得参加同一合同项下的采购活动。</w:t>
      </w:r>
    </w:p>
    <w:p w14:paraId="5C0E54DC">
      <w:pPr>
        <w:spacing w:line="440" w:lineRule="exact"/>
        <w:ind w:firstLine="409" w:firstLineChars="195"/>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4</w:t>
      </w:r>
      <w:r>
        <w:rPr>
          <w:rFonts w:hint="eastAsia" w:ascii="宋体"/>
          <w:color w:val="auto"/>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auto"/>
          <w:szCs w:val="21"/>
          <w:highlight w:val="none"/>
        </w:rPr>
      </w:pPr>
      <w:r>
        <w:rPr>
          <w:rFonts w:hint="eastAsia" w:ascii="宋体"/>
          <w:color w:val="auto"/>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auto"/>
          <w:szCs w:val="21"/>
          <w:highlight w:val="none"/>
        </w:rPr>
      </w:pPr>
      <w:r>
        <w:rPr>
          <w:rFonts w:hint="eastAsia" w:ascii="宋体"/>
          <w:color w:val="auto"/>
          <w:szCs w:val="21"/>
          <w:highlight w:val="none"/>
        </w:rPr>
        <w:t>（2）安徽省及滁州市等有关管理部门的相关规定；</w:t>
      </w:r>
    </w:p>
    <w:p w14:paraId="71F8EB8B">
      <w:pPr>
        <w:spacing w:line="440" w:lineRule="exact"/>
        <w:ind w:firstLine="409" w:firstLineChars="195"/>
        <w:rPr>
          <w:rFonts w:hint="eastAsia" w:ascii="宋体"/>
          <w:color w:val="auto"/>
          <w:szCs w:val="21"/>
          <w:highlight w:val="none"/>
        </w:rPr>
      </w:pPr>
      <w:r>
        <w:rPr>
          <w:rFonts w:hint="eastAsia" w:ascii="宋体"/>
          <w:color w:val="auto"/>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auto"/>
          <w:szCs w:val="21"/>
          <w:highlight w:val="none"/>
        </w:rPr>
      </w:pPr>
      <w:r>
        <w:rPr>
          <w:rFonts w:hint="eastAsia" w:ascii="宋体"/>
          <w:color w:val="auto"/>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14.保密</w:t>
      </w:r>
    </w:p>
    <w:p w14:paraId="2E1D6A97">
      <w:pPr>
        <w:spacing w:line="400" w:lineRule="exact"/>
        <w:ind w:firstLine="315" w:firstLineChars="150"/>
        <w:rPr>
          <w:rFonts w:hint="eastAsia" w:ascii="宋体"/>
          <w:color w:val="auto"/>
          <w:szCs w:val="21"/>
          <w:highlight w:val="none"/>
        </w:rPr>
      </w:pPr>
      <w:r>
        <w:rPr>
          <w:rFonts w:hint="eastAsia" w:ascii="宋体"/>
          <w:color w:val="auto"/>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color w:val="auto"/>
          <w:highlight w:val="none"/>
          <w:lang w:val="en-US"/>
        </w:rPr>
      </w:pPr>
      <w:r>
        <w:rPr>
          <w:rFonts w:hint="eastAsia" w:ascii="宋体" w:hAnsi="宋体" w:eastAsia="宋体" w:cs="宋体"/>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auto"/>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第四章  </w:t>
      </w:r>
      <w:r>
        <w:rPr>
          <w:rFonts w:hint="eastAsia" w:ascii="宋体" w:cs="宋体"/>
          <w:color w:val="auto"/>
          <w:szCs w:val="21"/>
          <w:highlight w:val="none"/>
          <w:lang w:val="en-US" w:eastAsia="zh-CN"/>
        </w:rPr>
        <w:t>采购需求</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color w:val="auto"/>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color w:val="auto"/>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auto"/>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auto"/>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auto"/>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auto"/>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21.1投标文件</w:t>
      </w:r>
      <w:r>
        <w:rPr>
          <w:rFonts w:hint="default" w:ascii="宋体" w:hAnsi="宋体" w:eastAsia="宋体" w:cs="宋体"/>
          <w:bCs/>
          <w:color w:val="auto"/>
          <w:kern w:val="0"/>
          <w:sz w:val="21"/>
          <w:szCs w:val="21"/>
          <w:highlight w:val="none"/>
          <w:u w:color="000000"/>
          <w:lang w:val="en-US" w:eastAsia="zh-CN" w:bidi="ar"/>
        </w:rPr>
        <w:t>须</w:t>
      </w:r>
      <w:r>
        <w:rPr>
          <w:rFonts w:hint="eastAsia" w:ascii="宋体" w:hAnsi="宋体" w:eastAsia="宋体" w:cs="宋体"/>
          <w:bCs/>
          <w:color w:val="auto"/>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22.2投标人只允许有一个方案、一个报价。</w:t>
      </w:r>
    </w:p>
    <w:p w14:paraId="6ACA085A">
      <w:pPr>
        <w:spacing w:line="420" w:lineRule="exact"/>
        <w:ind w:left="10" w:right="-94" w:rightChars="-45" w:firstLine="420" w:firstLineChars="200"/>
        <w:rPr>
          <w:rFonts w:hint="eastAsia" w:ascii="宋体" w:hAnsi="宋体" w:cs="宋体"/>
          <w:color w:val="auto"/>
          <w:szCs w:val="21"/>
          <w:highlight w:val="none"/>
        </w:rPr>
      </w:pPr>
      <w:r>
        <w:rPr>
          <w:rFonts w:hint="eastAsia" w:ascii="宋体" w:hAnsi="宋体" w:eastAsia="宋体" w:cs="宋体"/>
          <w:bCs/>
          <w:color w:val="auto"/>
          <w:kern w:val="0"/>
          <w:sz w:val="21"/>
          <w:szCs w:val="21"/>
          <w:highlight w:val="none"/>
          <w:u w:color="000000"/>
          <w:lang w:val="en-US" w:eastAsia="zh-CN" w:bidi="ar"/>
        </w:rPr>
        <w:t>22.3投标报价包括完成本项目全部供货及服务的一切费用：</w:t>
      </w:r>
      <w:r>
        <w:rPr>
          <w:rFonts w:hint="eastAsia" w:ascii="宋体" w:hAnsi="宋体" w:cs="宋体"/>
          <w:color w:val="auto"/>
          <w:szCs w:val="21"/>
          <w:highlight w:val="none"/>
        </w:rPr>
        <w:t>投标报价包含完成本次招标范围内的</w:t>
      </w:r>
      <w:r>
        <w:rPr>
          <w:rFonts w:hint="eastAsia" w:ascii="宋体" w:hAnsi="宋体" w:cs="宋体"/>
          <w:color w:val="auto"/>
          <w:szCs w:val="21"/>
          <w:highlight w:val="none"/>
          <w:lang w:val="en-US" w:eastAsia="zh-CN"/>
        </w:rPr>
        <w:t>设计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施工</w:t>
      </w:r>
      <w:r>
        <w:rPr>
          <w:rFonts w:hint="eastAsia" w:ascii="宋体" w:hAnsi="宋体" w:cs="宋体"/>
          <w:color w:val="auto"/>
          <w:szCs w:val="21"/>
          <w:highlight w:val="none"/>
        </w:rPr>
        <w:t>等所需的全部人员费用（如人员工资、保险、加班、差旅等一切费用）、设备费用、材料费用、机械费、报告编制费、专家评审费、招标代理费、会务费、管理费、利润及完成本项目服务所需的所有的费用，招标人不再另行支付。</w:t>
      </w:r>
    </w:p>
    <w:p w14:paraId="437141B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bCs/>
          <w:color w:val="auto"/>
          <w:kern w:val="0"/>
          <w:sz w:val="21"/>
          <w:szCs w:val="21"/>
          <w:highlight w:val="yellow"/>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22.4</w:t>
      </w:r>
      <w:r>
        <w:rPr>
          <w:rFonts w:hint="eastAsia" w:ascii="宋体" w:hAnsi="宋体" w:eastAsia="宋体" w:cs="宋体"/>
          <w:color w:val="auto"/>
          <w:kern w:val="0"/>
          <w:sz w:val="21"/>
          <w:szCs w:val="21"/>
          <w:highlight w:val="none"/>
          <w:u w:color="000000"/>
          <w:lang w:val="en-US" w:eastAsia="zh-CN" w:bidi="ar"/>
        </w:rPr>
        <w:t>投标报价的价格是完成项目全部内容（包括后期的相关服务）的价格，其</w:t>
      </w:r>
      <w:r>
        <w:rPr>
          <w:rFonts w:hint="eastAsia" w:ascii="宋体" w:hAnsi="宋体" w:cs="宋体"/>
          <w:color w:val="auto"/>
          <w:kern w:val="0"/>
          <w:sz w:val="21"/>
          <w:szCs w:val="21"/>
          <w:highlight w:val="none"/>
          <w:u w:color="000000"/>
          <w:lang w:val="en-US" w:eastAsia="zh-CN" w:bidi="ar"/>
        </w:rPr>
        <w:t>总</w:t>
      </w:r>
      <w:r>
        <w:rPr>
          <w:rFonts w:hint="eastAsia" w:ascii="宋体" w:hAnsi="宋体" w:eastAsia="宋体" w:cs="宋体"/>
          <w:color w:val="auto"/>
          <w:kern w:val="0"/>
          <w:sz w:val="21"/>
          <w:szCs w:val="21"/>
          <w:highlight w:val="none"/>
          <w:u w:color="000000"/>
          <w:lang w:val="en-US" w:eastAsia="zh-CN" w:bidi="ar"/>
        </w:rPr>
        <w:t>价即为履行合同的固定</w:t>
      </w:r>
      <w:r>
        <w:rPr>
          <w:rFonts w:hint="eastAsia" w:ascii="宋体" w:hAnsi="宋体" w:cs="宋体"/>
          <w:color w:val="auto"/>
          <w:kern w:val="0"/>
          <w:sz w:val="21"/>
          <w:szCs w:val="21"/>
          <w:highlight w:val="none"/>
          <w:u w:color="000000"/>
          <w:lang w:val="en-US" w:eastAsia="zh-CN" w:bidi="ar"/>
        </w:rPr>
        <w:t>总</w:t>
      </w:r>
      <w:r>
        <w:rPr>
          <w:rFonts w:hint="eastAsia" w:ascii="宋体" w:hAnsi="宋体" w:eastAsia="宋体" w:cs="宋体"/>
          <w:color w:val="auto"/>
          <w:kern w:val="0"/>
          <w:sz w:val="21"/>
          <w:szCs w:val="21"/>
          <w:highlight w:val="none"/>
          <w:u w:color="000000"/>
          <w:lang w:val="en-US" w:eastAsia="zh-CN" w:bidi="ar"/>
        </w:rPr>
        <w:t>价。</w:t>
      </w:r>
      <w:r>
        <w:rPr>
          <w:rFonts w:hint="eastAsia" w:ascii="宋体" w:hAnsi="宋体" w:eastAsia="宋体" w:cs="宋体"/>
          <w:color w:val="000000"/>
          <w:kern w:val="0"/>
          <w:sz w:val="21"/>
          <w:szCs w:val="21"/>
          <w:highlight w:val="yellow"/>
          <w:u w:color="000000"/>
          <w:lang w:val="en-US" w:eastAsia="zh-CN" w:bidi="ar"/>
        </w:rPr>
        <w:t>中标价为不含税价格，过程支付以及结算时，中标人应按国家相关规定缴纳税金，税金按照实际纳入过程支付以及结算。</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22.6投标人的投标报价不得超过最高限价，否则将作为无效投标处理。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22.7投标</w:t>
      </w:r>
      <w:r>
        <w:rPr>
          <w:rFonts w:hint="eastAsia" w:ascii="宋体" w:hAnsi="宋体" w:cs="宋体"/>
          <w:bCs/>
          <w:color w:val="auto"/>
          <w:kern w:val="0"/>
          <w:sz w:val="21"/>
          <w:szCs w:val="21"/>
          <w:highlight w:val="none"/>
          <w:u w:color="000000"/>
          <w:lang w:val="en-US" w:eastAsia="zh-CN" w:bidi="ar"/>
        </w:rPr>
        <w:t>报</w:t>
      </w:r>
      <w:r>
        <w:rPr>
          <w:rFonts w:hint="eastAsia" w:ascii="宋体" w:hAnsi="宋体" w:eastAsia="宋体" w:cs="宋体"/>
          <w:bCs/>
          <w:color w:val="auto"/>
          <w:kern w:val="0"/>
          <w:sz w:val="21"/>
          <w:szCs w:val="21"/>
          <w:highlight w:val="none"/>
          <w:u w:color="000000"/>
          <w:lang w:val="en-US" w:eastAsia="zh-CN" w:bidi="ar"/>
        </w:rPr>
        <w:t>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22.8投标</w:t>
      </w:r>
      <w:r>
        <w:rPr>
          <w:rFonts w:hint="eastAsia" w:ascii="宋体" w:hAnsi="宋体" w:cs="宋体"/>
          <w:bCs/>
          <w:color w:val="auto"/>
          <w:kern w:val="0"/>
          <w:sz w:val="21"/>
          <w:szCs w:val="21"/>
          <w:highlight w:val="none"/>
          <w:u w:color="000000"/>
          <w:lang w:val="en-US" w:eastAsia="zh-CN" w:bidi="ar"/>
        </w:rPr>
        <w:t>报</w:t>
      </w:r>
      <w:r>
        <w:rPr>
          <w:rFonts w:hint="eastAsia" w:ascii="宋体" w:hAnsi="宋体" w:eastAsia="宋体" w:cs="宋体"/>
          <w:bCs/>
          <w:color w:val="auto"/>
          <w:kern w:val="0"/>
          <w:sz w:val="21"/>
          <w:szCs w:val="21"/>
          <w:highlight w:val="none"/>
          <w:u w:color="000000"/>
          <w:lang w:val="en-US" w:eastAsia="zh-CN" w:bidi="ar"/>
        </w:rPr>
        <w:t>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auto"/>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90" w:name="_Toc30407_WPSOffice_Level3"/>
      <w:bookmarkEnd w:id="90"/>
      <w:bookmarkStart w:id="91" w:name="_Toc490"/>
      <w:bookmarkEnd w:id="91"/>
      <w:r>
        <w:rPr>
          <w:rFonts w:hint="eastAsia" w:ascii="宋体" w:hAnsi="宋体" w:eastAsia="宋体" w:cs="宋体"/>
          <w:b/>
          <w:bCs w:val="0"/>
          <w:color w:val="auto"/>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26.1 </w:t>
      </w:r>
      <w:r>
        <w:rPr>
          <w:rFonts w:hint="eastAsia" w:ascii="宋体" w:hAnsi="宋体" w:eastAsia="宋体" w:cs="宋体"/>
          <w:color w:val="auto"/>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highlight w:val="none"/>
          <w:lang w:val="en-US" w:eastAsia="zh-CN"/>
        </w:rPr>
        <w:fldChar w:fldCharType="begin"/>
      </w:r>
      <w:r>
        <w:rPr>
          <w:rFonts w:hint="eastAsia" w:ascii="宋体" w:hAnsi="宋体" w:eastAsia="宋体" w:cs="宋体"/>
          <w:color w:val="auto"/>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color w:val="auto"/>
          <w:highlight w:val="none"/>
          <w:lang w:val="en-US" w:eastAsia="zh-CN"/>
        </w:rPr>
        <w:fldChar w:fldCharType="separate"/>
      </w:r>
      <w:r>
        <w:rPr>
          <w:rFonts w:hint="eastAsia" w:ascii="宋体" w:hAnsi="宋体" w:eastAsia="宋体" w:cs="宋体"/>
          <w:color w:val="auto"/>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color w:val="auto"/>
          <w:highlight w:val="none"/>
          <w:lang w:val="en-US" w:eastAsia="zh-CN"/>
        </w:rPr>
        <w:fldChar w:fldCharType="end"/>
      </w:r>
      <w:r>
        <w:rPr>
          <w:rFonts w:hint="eastAsia" w:ascii="宋体" w:hAnsi="宋体" w:eastAsia="宋体" w:cs="宋体"/>
          <w:color w:val="auto"/>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auto"/>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spacing w:val="-8"/>
          <w:highlight w:val="none"/>
          <w:lang w:val="en-US"/>
        </w:rPr>
      </w:pPr>
      <w:bookmarkStart w:id="94" w:name="_Toc15542_WPSOffice_Level3"/>
      <w:bookmarkEnd w:id="94"/>
      <w:r>
        <w:rPr>
          <w:rFonts w:hint="eastAsia" w:ascii="宋体" w:hAnsi="宋体" w:eastAsia="宋体" w:cs="宋体"/>
          <w:color w:val="auto"/>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color w:val="auto"/>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开标会议由</w:t>
      </w:r>
      <w:r>
        <w:rPr>
          <w:rFonts w:hint="eastAsia" w:ascii="宋体" w:hAnsi="宋体" w:eastAsia="宋体" w:cs="宋体"/>
          <w:color w:val="auto"/>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auto"/>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投标人对开标有异议的，</w:t>
      </w:r>
      <w:r>
        <w:rPr>
          <w:rFonts w:hint="eastAsia" w:ascii="宋体" w:hAnsi="宋体" w:eastAsia="宋体" w:cs="宋体"/>
          <w:color w:val="auto"/>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30.4</w:t>
      </w:r>
      <w:r>
        <w:rPr>
          <w:rFonts w:hint="eastAsia" w:ascii="宋体" w:hAnsi="宋体" w:eastAsia="宋体" w:cs="宋体"/>
          <w:b/>
          <w:bCs/>
          <w:color w:val="auto"/>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bookmarkStart w:id="95" w:name="_Toc5272_WPSOffice_Level3"/>
      <w:bookmarkEnd w:id="95"/>
      <w:r>
        <w:rPr>
          <w:rFonts w:hint="eastAsia" w:ascii="宋体" w:hAnsi="宋体" w:eastAsia="宋体" w:cs="宋体"/>
          <w:color w:val="auto"/>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color w:val="auto"/>
          <w:szCs w:val="21"/>
          <w:highlight w:val="none"/>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3</w:t>
      </w:r>
      <w:r>
        <w:rPr>
          <w:rFonts w:hint="eastAsia" w:ascii="宋体" w:hAnsi="宋体" w:eastAsia="宋体" w:cs="宋体"/>
          <w:b/>
          <w:color w:val="auto"/>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宋体" w:eastAsia="宋体" w:cs="宋体"/>
          <w:color w:val="auto"/>
          <w:kern w:val="0"/>
          <w:szCs w:val="21"/>
          <w:highlight w:val="none"/>
          <w:u w:color="000000"/>
          <w:lang w:val="en-US" w:eastAsia="zh-CN" w:bidi="ar"/>
        </w:rPr>
        <w:t>3</w:t>
      </w:r>
      <w:r>
        <w:rPr>
          <w:rFonts w:hint="eastAsia" w:ascii="宋体" w:hAnsi="宋体" w:eastAsia="宋体" w:cs="宋体"/>
          <w:color w:val="auto"/>
          <w:kern w:val="0"/>
          <w:szCs w:val="21"/>
          <w:highlight w:val="none"/>
          <w:u w:color="000000"/>
          <w:lang w:bidi="ar"/>
        </w:rPr>
        <w:t>.1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4</w:t>
      </w:r>
      <w:r>
        <w:rPr>
          <w:rFonts w:hint="eastAsia" w:ascii="宋体" w:hAnsi="宋体" w:eastAsia="宋体" w:cs="宋体"/>
          <w:b/>
          <w:color w:val="auto"/>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5</w:t>
      </w:r>
      <w:r>
        <w:rPr>
          <w:rFonts w:hint="eastAsia" w:ascii="宋体" w:hAnsi="宋体" w:eastAsia="宋体" w:cs="宋体"/>
          <w:b/>
          <w:color w:val="auto"/>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6</w:t>
      </w:r>
      <w:r>
        <w:rPr>
          <w:rFonts w:hint="eastAsia" w:ascii="宋体" w:hAnsi="宋体" w:eastAsia="宋体" w:cs="宋体"/>
          <w:b/>
          <w:color w:val="auto"/>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  </w:t>
      </w:r>
      <w:r>
        <w:rPr>
          <w:rFonts w:hint="eastAsia" w:ascii="宋体" w:hAnsi="Times New Roman" w:eastAsia="宋体" w:cs="Times New Roman"/>
          <w:b/>
          <w:color w:val="auto"/>
          <w:szCs w:val="21"/>
          <w:highlight w:val="none"/>
        </w:rPr>
        <w:t xml:space="preserve"> </w:t>
      </w:r>
      <w:r>
        <w:rPr>
          <w:rFonts w:hint="eastAsia" w:ascii="宋体" w:hAnsi="宋体" w:eastAsia="宋体" w:cs="宋体"/>
          <w:b/>
          <w:color w:val="auto"/>
          <w:kern w:val="0"/>
          <w:szCs w:val="21"/>
          <w:highlight w:val="none"/>
          <w:u w:color="000000"/>
          <w:lang w:bidi="ar"/>
        </w:rPr>
        <w:t xml:space="preserve"> </w:t>
      </w:r>
      <w:bookmarkStart w:id="96" w:name="_Toc7247"/>
      <w:bookmarkEnd w:id="96"/>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7</w:t>
      </w:r>
      <w:r>
        <w:rPr>
          <w:rFonts w:hint="eastAsia" w:ascii="宋体" w:hAnsi="宋体" w:eastAsia="宋体" w:cs="宋体"/>
          <w:b/>
          <w:color w:val="auto"/>
          <w:kern w:val="0"/>
          <w:szCs w:val="21"/>
          <w:highlight w:val="none"/>
          <w:u w:color="000000"/>
          <w:lang w:bidi="ar"/>
        </w:rPr>
        <w:t>.</w:t>
      </w:r>
      <w:bookmarkStart w:id="97" w:name="_Toc217446068"/>
      <w:r>
        <w:rPr>
          <w:rFonts w:hint="eastAsia" w:ascii="宋体" w:hAnsi="宋体" w:eastAsia="宋体" w:cs="宋体"/>
          <w:b/>
          <w:color w:val="auto"/>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color w:val="auto"/>
          <w:szCs w:val="21"/>
          <w:highlight w:val="none"/>
        </w:rPr>
      </w:pPr>
      <w:bookmarkStart w:id="98" w:name="_Toc316_WPSOffice_Level3"/>
      <w:bookmarkEnd w:id="98"/>
      <w:bookmarkStart w:id="99" w:name="_Toc23484"/>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w:t>
      </w:r>
      <w:bookmarkEnd w:id="99"/>
      <w:r>
        <w:rPr>
          <w:rFonts w:hint="eastAsia" w:ascii="宋体" w:hAnsi="Times New Roman" w:eastAsia="宋体" w:cs="Times New Roman"/>
          <w:color w:val="auto"/>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.2中标人不能按本章第3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.1项要求提交履约担保的，视为放弃中标，给招标人造成损失的，中标人还应</w:t>
      </w:r>
      <w:r>
        <w:rPr>
          <w:rFonts w:hint="eastAsia" w:ascii="宋体" w:hAnsi="Times New Roman" w:eastAsia="宋体" w:cs="Times New Roman"/>
          <w:color w:val="auto"/>
          <w:szCs w:val="21"/>
          <w:highlight w:val="none"/>
          <w:lang w:val="en-US" w:eastAsia="zh-CN"/>
        </w:rPr>
        <w:t>当</w:t>
      </w:r>
      <w:r>
        <w:rPr>
          <w:rFonts w:hint="eastAsia" w:ascii="宋体" w:hAnsi="Times New Roman" w:eastAsia="宋体" w:cs="Times New Roman"/>
          <w:color w:val="auto"/>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8</w:t>
      </w:r>
      <w:r>
        <w:rPr>
          <w:rFonts w:hint="eastAsia" w:ascii="宋体" w:hAnsi="宋体" w:eastAsia="宋体" w:cs="宋体"/>
          <w:b/>
          <w:color w:val="auto"/>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val="en-US" w:eastAsia="zh-CN" w:bidi="ar"/>
        </w:rPr>
        <w:t>39</w:t>
      </w:r>
      <w:r>
        <w:rPr>
          <w:rFonts w:hint="eastAsia" w:ascii="宋体" w:hAnsi="宋体" w:eastAsia="宋体" w:cs="宋体"/>
          <w:b/>
          <w:color w:val="auto"/>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39</w:t>
      </w:r>
      <w:r>
        <w:rPr>
          <w:rFonts w:hint="eastAsia" w:ascii="宋体" w:hAnsi="Times New Roman" w:eastAsia="宋体" w:cs="Times New Roman"/>
          <w:color w:val="auto"/>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0</w:t>
      </w:r>
      <w:r>
        <w:rPr>
          <w:rFonts w:hint="eastAsia" w:ascii="宋体" w:hAnsi="宋体" w:eastAsia="宋体" w:cs="宋体"/>
          <w:b/>
          <w:color w:val="auto"/>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0</w:t>
      </w:r>
      <w:r>
        <w:rPr>
          <w:rFonts w:hint="eastAsia" w:ascii="宋体" w:hAnsi="Times New Roman" w:eastAsia="宋体" w:cs="Times New Roman"/>
          <w:color w:val="auto"/>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1</w:t>
      </w:r>
      <w:r>
        <w:rPr>
          <w:rFonts w:hint="eastAsia" w:ascii="宋体" w:hAnsi="宋体" w:eastAsia="宋体" w:cs="宋体"/>
          <w:b/>
          <w:color w:val="auto"/>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color w:val="auto"/>
          <w:sz w:val="28"/>
          <w:szCs w:val="28"/>
          <w:highlight w:val="none"/>
          <w:lang w:val="en-US"/>
        </w:rPr>
      </w:pPr>
      <w:r>
        <w:rPr>
          <w:rFonts w:hint="eastAsia" w:ascii="宋体" w:hAnsi="宋体" w:eastAsia="宋体" w:cs="宋体"/>
          <w:b/>
          <w:bCs w:val="0"/>
          <w:color w:val="auto"/>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color w:val="auto"/>
          <w:szCs w:val="21"/>
          <w:highlight w:val="none"/>
        </w:rPr>
      </w:pPr>
    </w:p>
    <w:p w14:paraId="146D6C50">
      <w:pPr>
        <w:pageBreakBefore/>
        <w:spacing w:beforeLines="80" w:afterLines="80" w:line="440" w:lineRule="exact"/>
        <w:jc w:val="center"/>
        <w:outlineLvl w:val="1"/>
        <w:rPr>
          <w:rFonts w:ascii="宋体"/>
          <w:b/>
          <w:color w:val="auto"/>
          <w:sz w:val="32"/>
          <w:szCs w:val="32"/>
          <w:highlight w:val="none"/>
        </w:rPr>
      </w:pPr>
      <w:bookmarkStart w:id="100" w:name="_Toc78803375"/>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章  资格审查</w:t>
      </w:r>
      <w:bookmarkEnd w:id="71"/>
      <w:r>
        <w:rPr>
          <w:rFonts w:hint="eastAsia" w:ascii="宋体"/>
          <w:b/>
          <w:color w:val="auto"/>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auto"/>
          <w:sz w:val="28"/>
          <w:szCs w:val="28"/>
          <w:highlight w:val="none"/>
        </w:rPr>
      </w:pPr>
      <w:bookmarkStart w:id="101" w:name="_Toc15058912"/>
      <w:bookmarkStart w:id="102" w:name="_Toc506107323"/>
      <w:bookmarkStart w:id="103" w:name="_Toc35424945"/>
      <w:bookmarkStart w:id="104" w:name="_Toc35425111"/>
      <w:r>
        <w:rPr>
          <w:rFonts w:hint="eastAsia" w:ascii="宋体" w:hAnsi="Times New Roman" w:eastAsia="宋体" w:cs="Times New Roman"/>
          <w:b/>
          <w:color w:val="auto"/>
          <w:sz w:val="28"/>
          <w:szCs w:val="28"/>
          <w:highlight w:val="none"/>
        </w:rPr>
        <w:t>（一）资格审查办法前附表</w:t>
      </w:r>
    </w:p>
    <w:p w14:paraId="1CEBE11D">
      <w:pPr>
        <w:adjustRightInd w:val="0"/>
        <w:snapToGrid w:val="0"/>
        <w:spacing w:line="560" w:lineRule="exact"/>
        <w:jc w:val="left"/>
        <w:rPr>
          <w:color w:val="auto"/>
          <w:szCs w:val="21"/>
          <w:highlight w:val="none"/>
        </w:rPr>
      </w:pPr>
      <w:r>
        <w:rPr>
          <w:rFonts w:hint="eastAsia"/>
          <w:color w:val="auto"/>
          <w:highlight w:val="none"/>
        </w:rPr>
        <w:t>1.资信证明文件评审</w:t>
      </w:r>
      <w:r>
        <w:rPr>
          <w:rFonts w:hint="eastAsia" w:ascii="宋体"/>
          <w:b/>
          <w:color w:val="auto"/>
          <w:szCs w:val="21"/>
          <w:highlight w:val="none"/>
        </w:rPr>
        <w:t>:</w:t>
      </w:r>
    </w:p>
    <w:tbl>
      <w:tblPr>
        <w:tblStyle w:val="48"/>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auto"/>
                <w:highlight w:val="none"/>
              </w:rPr>
            </w:pPr>
            <w:r>
              <w:rPr>
                <w:rFonts w:hint="eastAsia" w:ascii="黑体" w:eastAsia="黑体" w:cs="黑体"/>
                <w:b/>
                <w:bCs/>
                <w:color w:val="auto"/>
                <w:szCs w:val="21"/>
                <w:highlight w:val="none"/>
              </w:rPr>
              <w:t>序号</w:t>
            </w:r>
          </w:p>
        </w:tc>
        <w:tc>
          <w:tcPr>
            <w:tcW w:w="4243" w:type="dxa"/>
            <w:gridSpan w:val="2"/>
            <w:vAlign w:val="center"/>
          </w:tcPr>
          <w:p w14:paraId="573A21C8">
            <w:pPr>
              <w:spacing w:line="320" w:lineRule="exact"/>
              <w:jc w:val="center"/>
              <w:rPr>
                <w:color w:val="auto"/>
                <w:highlight w:val="none"/>
              </w:rPr>
            </w:pPr>
            <w:r>
              <w:rPr>
                <w:rFonts w:hint="eastAsia" w:ascii="宋体" w:hAnsi="宋体"/>
                <w:color w:val="auto"/>
                <w:szCs w:val="21"/>
                <w:highlight w:val="none"/>
              </w:rPr>
              <w:t>评审因素</w:t>
            </w:r>
          </w:p>
        </w:tc>
        <w:tc>
          <w:tcPr>
            <w:tcW w:w="3929" w:type="dxa"/>
            <w:vAlign w:val="center"/>
          </w:tcPr>
          <w:p w14:paraId="54D724EC">
            <w:pPr>
              <w:spacing w:line="320" w:lineRule="exact"/>
              <w:jc w:val="center"/>
              <w:rPr>
                <w:color w:val="auto"/>
                <w:highlight w:val="none"/>
              </w:rPr>
            </w:pPr>
            <w:r>
              <w:rPr>
                <w:rFonts w:hint="eastAsia" w:ascii="宋体" w:hAnsi="宋体"/>
                <w:color w:val="auto"/>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auto"/>
                <w:szCs w:val="21"/>
                <w:highlight w:val="none"/>
              </w:rPr>
            </w:pPr>
            <w:r>
              <w:rPr>
                <w:rFonts w:hint="eastAsia" w:ascii="宋体" w:hAnsi="宋体"/>
                <w:color w:val="auto"/>
                <w:szCs w:val="21"/>
                <w:highlight w:val="none"/>
              </w:rPr>
              <w:t>1</w:t>
            </w:r>
          </w:p>
        </w:tc>
        <w:tc>
          <w:tcPr>
            <w:tcW w:w="1235" w:type="dxa"/>
            <w:vAlign w:val="center"/>
          </w:tcPr>
          <w:p w14:paraId="20257B59">
            <w:pPr>
              <w:spacing w:line="320" w:lineRule="exact"/>
              <w:jc w:val="center"/>
              <w:rPr>
                <w:rFonts w:ascii="宋体" w:hAnsi="宋体"/>
                <w:color w:val="auto"/>
                <w:szCs w:val="21"/>
                <w:highlight w:val="none"/>
              </w:rPr>
            </w:pPr>
            <w:r>
              <w:rPr>
                <w:rFonts w:hint="eastAsia" w:ascii="宋体"/>
                <w:color w:val="auto"/>
                <w:szCs w:val="21"/>
                <w:highlight w:val="none"/>
              </w:rPr>
              <w:t>重要要求</w:t>
            </w:r>
          </w:p>
        </w:tc>
        <w:tc>
          <w:tcPr>
            <w:tcW w:w="3008" w:type="dxa"/>
            <w:vAlign w:val="center"/>
          </w:tcPr>
          <w:p w14:paraId="2B4DC8B6">
            <w:pPr>
              <w:spacing w:line="320" w:lineRule="exact"/>
              <w:jc w:val="left"/>
              <w:rPr>
                <w:rFonts w:ascii="宋体" w:hAnsi="宋体"/>
                <w:color w:val="auto"/>
                <w:szCs w:val="21"/>
                <w:highlight w:val="none"/>
              </w:rPr>
            </w:pPr>
            <w:r>
              <w:rPr>
                <w:rFonts w:hint="eastAsia"/>
                <w:color w:val="auto"/>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auto"/>
                <w:szCs w:val="21"/>
                <w:highlight w:val="none"/>
              </w:rPr>
            </w:pPr>
            <w:r>
              <w:rPr>
                <w:rFonts w:hint="eastAsia"/>
                <w:color w:val="auto"/>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auto"/>
                <w:szCs w:val="21"/>
                <w:highlight w:val="none"/>
              </w:rPr>
            </w:pPr>
            <w:r>
              <w:rPr>
                <w:rFonts w:hint="eastAsia" w:ascii="宋体" w:hAnsi="宋体"/>
                <w:color w:val="auto"/>
                <w:szCs w:val="21"/>
                <w:highlight w:val="none"/>
              </w:rPr>
              <w:t>2</w:t>
            </w:r>
          </w:p>
        </w:tc>
        <w:tc>
          <w:tcPr>
            <w:tcW w:w="1235" w:type="dxa"/>
            <w:vMerge w:val="restart"/>
            <w:vAlign w:val="center"/>
          </w:tcPr>
          <w:p w14:paraId="170C2FA5">
            <w:pPr>
              <w:spacing w:line="320" w:lineRule="exact"/>
              <w:rPr>
                <w:rFonts w:ascii="宋体" w:hAnsi="宋体"/>
                <w:color w:val="auto"/>
                <w:szCs w:val="21"/>
                <w:highlight w:val="none"/>
              </w:rPr>
            </w:pPr>
            <w:r>
              <w:rPr>
                <w:rFonts w:hint="eastAsia" w:ascii="宋体" w:hAnsi="宋体"/>
                <w:color w:val="auto"/>
                <w:szCs w:val="21"/>
                <w:highlight w:val="none"/>
              </w:rPr>
              <w:t>投标人应符合的基本资格条件</w:t>
            </w:r>
          </w:p>
        </w:tc>
        <w:tc>
          <w:tcPr>
            <w:tcW w:w="3008" w:type="dxa"/>
            <w:vAlign w:val="center"/>
          </w:tcPr>
          <w:p w14:paraId="111C5BC2">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（2）具有独立承担民事责任的能力</w:t>
            </w:r>
          </w:p>
        </w:tc>
        <w:tc>
          <w:tcPr>
            <w:tcW w:w="3929" w:type="dxa"/>
            <w:vAlign w:val="center"/>
          </w:tcPr>
          <w:p w14:paraId="04F5B469">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评审核验电子标书中的下列证书、证明材料：</w:t>
            </w:r>
          </w:p>
          <w:p w14:paraId="4FE89A7E">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4060B20C">
            <w:pPr>
              <w:spacing w:line="320" w:lineRule="exact"/>
              <w:jc w:val="center"/>
              <w:rPr>
                <w:rFonts w:ascii="宋体" w:hAnsi="宋体"/>
                <w:color w:val="auto"/>
                <w:szCs w:val="21"/>
                <w:highlight w:val="none"/>
              </w:rPr>
            </w:pPr>
          </w:p>
        </w:tc>
        <w:tc>
          <w:tcPr>
            <w:tcW w:w="1235" w:type="dxa"/>
            <w:vMerge w:val="continue"/>
            <w:vAlign w:val="center"/>
          </w:tcPr>
          <w:p w14:paraId="3221AF15">
            <w:pPr>
              <w:spacing w:line="320" w:lineRule="exact"/>
              <w:rPr>
                <w:rFonts w:ascii="宋体" w:hAnsi="宋体"/>
                <w:color w:val="auto"/>
                <w:szCs w:val="21"/>
                <w:highlight w:val="none"/>
              </w:rPr>
            </w:pPr>
          </w:p>
        </w:tc>
        <w:tc>
          <w:tcPr>
            <w:tcW w:w="3008" w:type="dxa"/>
            <w:vAlign w:val="center"/>
          </w:tcPr>
          <w:p w14:paraId="78A19AC6">
            <w:pPr>
              <w:widowControl/>
              <w:autoSpaceDE w:val="0"/>
              <w:spacing w:line="4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）诚信投标承诺书</w:t>
            </w:r>
          </w:p>
        </w:tc>
        <w:tc>
          <w:tcPr>
            <w:tcW w:w="3929" w:type="dxa"/>
            <w:vAlign w:val="center"/>
          </w:tcPr>
          <w:p w14:paraId="1B6F7B2F">
            <w:pPr>
              <w:spacing w:line="360" w:lineRule="exact"/>
              <w:jc w:val="left"/>
              <w:rPr>
                <w:rFonts w:ascii="宋体"/>
                <w:b/>
                <w:color w:val="auto"/>
                <w:szCs w:val="21"/>
                <w:highlight w:val="none"/>
              </w:rPr>
            </w:pPr>
            <w:r>
              <w:rPr>
                <w:rFonts w:hint="eastAsia"/>
                <w:color w:val="auto"/>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auto"/>
                <w:szCs w:val="21"/>
                <w:highlight w:val="none"/>
              </w:rPr>
            </w:pPr>
          </w:p>
        </w:tc>
        <w:tc>
          <w:tcPr>
            <w:tcW w:w="1235" w:type="dxa"/>
            <w:vMerge w:val="continue"/>
            <w:vAlign w:val="center"/>
          </w:tcPr>
          <w:p w14:paraId="40531A6E">
            <w:pPr>
              <w:spacing w:line="320" w:lineRule="exact"/>
              <w:rPr>
                <w:rFonts w:ascii="宋体" w:hAnsi="宋体"/>
                <w:color w:val="auto"/>
                <w:szCs w:val="21"/>
                <w:highlight w:val="none"/>
              </w:rPr>
            </w:pPr>
          </w:p>
        </w:tc>
        <w:tc>
          <w:tcPr>
            <w:tcW w:w="3008" w:type="dxa"/>
            <w:vAlign w:val="center"/>
          </w:tcPr>
          <w:p w14:paraId="3DFACE3C">
            <w:pPr>
              <w:widowControl/>
              <w:autoSpaceDE w:val="0"/>
              <w:spacing w:line="4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）服务承诺书</w:t>
            </w:r>
          </w:p>
        </w:tc>
        <w:tc>
          <w:tcPr>
            <w:tcW w:w="3929" w:type="dxa"/>
            <w:vAlign w:val="center"/>
          </w:tcPr>
          <w:p w14:paraId="0043AD0E">
            <w:pPr>
              <w:spacing w:line="360" w:lineRule="exact"/>
              <w:jc w:val="left"/>
              <w:rPr>
                <w:rFonts w:ascii="宋体"/>
                <w:color w:val="auto"/>
                <w:szCs w:val="21"/>
                <w:highlight w:val="none"/>
              </w:rPr>
            </w:pPr>
            <w:r>
              <w:rPr>
                <w:rFonts w:hint="eastAsia"/>
                <w:color w:val="auto"/>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05" w:name="_Toc506107320"/>
      <w:bookmarkStart w:id="106" w:name="_Toc15058909"/>
      <w:bookmarkStart w:id="107" w:name="_Toc60061492"/>
      <w:bookmarkStart w:id="108" w:name="_Toc95223395"/>
      <w:r>
        <w:rPr>
          <w:rFonts w:hint="eastAsia" w:ascii="Times New Roman" w:hAnsi="Times New Roman" w:eastAsia="宋体" w:cs="Times New Roman"/>
          <w:color w:val="auto"/>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09" w:name="_Toc324404868"/>
      <w:bookmarkStart w:id="110" w:name="_Toc60061493"/>
      <w:bookmarkStart w:id="111" w:name="_Toc15058910"/>
      <w:bookmarkStart w:id="112" w:name="_Toc506107321"/>
      <w:r>
        <w:rPr>
          <w:rFonts w:hint="eastAsia" w:ascii="Times New Roman" w:hAnsi="Times New Roman" w:eastAsia="宋体" w:cs="Times New Roman"/>
          <w:color w:val="auto"/>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13" w:name="_Toc95223396"/>
      <w:r>
        <w:rPr>
          <w:rFonts w:hint="eastAsia" w:ascii="Times New Roman" w:hAnsi="Times New Roman" w:eastAsia="宋体" w:cs="Times New Roman"/>
          <w:color w:val="auto"/>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14" w:name="_Toc60061494"/>
      <w:bookmarkStart w:id="115" w:name="_Toc506107322"/>
      <w:bookmarkStart w:id="116" w:name="_Toc324404869"/>
      <w:bookmarkStart w:id="117" w:name="_Toc95223397"/>
      <w:bookmarkStart w:id="118" w:name="_Toc15058911"/>
      <w:r>
        <w:rPr>
          <w:rFonts w:hint="eastAsia" w:ascii="Times New Roman" w:hAnsi="Times New Roman" w:eastAsia="宋体" w:cs="Times New Roman"/>
          <w:color w:val="auto"/>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只有通过资格审查的投标人才能进入下一步的评标程序。</w:t>
      </w:r>
    </w:p>
    <w:p w14:paraId="500CB5F4">
      <w:pPr>
        <w:pStyle w:val="4"/>
        <w:spacing w:beforeLines="50" w:afterLines="50"/>
        <w:rPr>
          <w:color w:val="auto"/>
          <w:highlight w:val="none"/>
        </w:rPr>
      </w:pPr>
      <w:r>
        <w:rPr>
          <w:rFonts w:hint="eastAsia"/>
          <w:color w:val="auto"/>
          <w:highlight w:val="none"/>
        </w:rPr>
        <w:br w:type="page"/>
      </w:r>
      <w:bookmarkStart w:id="119" w:name="_Toc78803380"/>
      <w:r>
        <w:rPr>
          <w:rFonts w:hint="eastAsia" w:ascii="Arial" w:hAnsi="Arial"/>
          <w:color w:val="auto"/>
          <w:kern w:val="0"/>
          <w:sz w:val="32"/>
          <w:szCs w:val="32"/>
          <w:highlight w:val="none"/>
        </w:rPr>
        <w:t>第</w:t>
      </w:r>
      <w:r>
        <w:rPr>
          <w:rFonts w:hint="eastAsia" w:ascii="Arial" w:hAnsi="Arial"/>
          <w:color w:val="auto"/>
          <w:kern w:val="0"/>
          <w:sz w:val="32"/>
          <w:szCs w:val="32"/>
          <w:highlight w:val="none"/>
          <w:lang w:val="en-US" w:eastAsia="zh-CN"/>
        </w:rPr>
        <w:t>四</w:t>
      </w:r>
      <w:r>
        <w:rPr>
          <w:rFonts w:hint="eastAsia" w:ascii="Arial" w:hAnsi="Arial"/>
          <w:color w:val="auto"/>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color w:val="auto"/>
          <w:sz w:val="28"/>
          <w:szCs w:val="28"/>
          <w:highlight w:val="none"/>
        </w:rPr>
      </w:pPr>
      <w:bookmarkStart w:id="120" w:name="_Toc35425112"/>
      <w:bookmarkStart w:id="121" w:name="_Toc35424946"/>
      <w:r>
        <w:rPr>
          <w:rFonts w:hint="eastAsia" w:ascii="宋体" w:hAnsi="宋体" w:cs="宋体"/>
          <w:b/>
          <w:bCs/>
          <w:color w:val="auto"/>
          <w:sz w:val="28"/>
          <w:szCs w:val="28"/>
          <w:highlight w:val="none"/>
        </w:rPr>
        <w:t>评标办法前附表</w:t>
      </w:r>
      <w:bookmarkEnd w:id="120"/>
      <w:bookmarkEnd w:id="121"/>
    </w:p>
    <w:p w14:paraId="0701628E">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（一）资信标评分细则（</w:t>
      </w:r>
      <w:r>
        <w:rPr>
          <w:rFonts w:hint="eastAsia" w:cs="Times New Roman"/>
          <w:b/>
          <w:color w:val="auto"/>
          <w:sz w:val="28"/>
          <w:szCs w:val="21"/>
          <w:highlight w:val="none"/>
          <w:lang w:val="en-US" w:eastAsia="zh-CN"/>
        </w:rPr>
        <w:t>1</w:t>
      </w:r>
      <w:r>
        <w:rPr>
          <w:rFonts w:hint="eastAsia" w:ascii="Times New Roman" w:hAnsi="Times New Roman" w:eastAsia="宋体" w:cs="Times New Roman"/>
          <w:b/>
          <w:color w:val="auto"/>
          <w:sz w:val="28"/>
          <w:szCs w:val="21"/>
          <w:highlight w:val="none"/>
          <w:lang w:val="en-US" w:eastAsia="zh-CN"/>
        </w:rPr>
        <w:t>0分）</w:t>
      </w:r>
    </w:p>
    <w:tbl>
      <w:tblPr>
        <w:tblStyle w:val="49"/>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7552"/>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评审因素</w:t>
            </w:r>
          </w:p>
        </w:tc>
        <w:tc>
          <w:tcPr>
            <w:tcW w:w="3763"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1C5B2E0E">
            <w:pPr>
              <w:spacing w:before="69" w:line="360" w:lineRule="exact"/>
              <w:jc w:val="center"/>
              <w:rPr>
                <w:rFonts w:hint="eastAsia" w:ascii="宋体" w:hAnsi="宋体" w:eastAsia="宋体" w:cs="宋体"/>
                <w:color w:val="auto"/>
                <w:spacing w:val="-2"/>
                <w:position w:val="11"/>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企业业绩（</w:t>
            </w:r>
            <w:r>
              <w:rPr>
                <w:rFonts w:hint="eastAsia" w:ascii="宋体" w:hAnsi="宋体" w:cs="宋体"/>
                <w:color w:val="auto"/>
                <w:spacing w:val="-2"/>
                <w:position w:val="11"/>
                <w:sz w:val="21"/>
                <w:szCs w:val="21"/>
                <w:highlight w:val="none"/>
                <w:lang w:val="en-US" w:eastAsia="zh-CN"/>
              </w:rPr>
              <w:t>1</w:t>
            </w:r>
            <w:r>
              <w:rPr>
                <w:rFonts w:hint="eastAsia" w:ascii="宋体" w:hAnsi="宋体" w:eastAsia="宋体" w:cs="宋体"/>
                <w:color w:val="auto"/>
                <w:spacing w:val="-2"/>
                <w:position w:val="11"/>
                <w:sz w:val="21"/>
                <w:szCs w:val="21"/>
                <w:highlight w:val="none"/>
                <w:lang w:val="en-US" w:eastAsia="zh-CN"/>
              </w:rPr>
              <w:t>0分）</w:t>
            </w:r>
          </w:p>
        </w:tc>
        <w:tc>
          <w:tcPr>
            <w:tcW w:w="3763" w:type="pct"/>
            <w:vAlign w:val="top"/>
          </w:tcPr>
          <w:p w14:paraId="415C650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自2020年1月1日至投标截止日（以合同签订时间为准），投标人提供</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个单项合同不低于50万元</w:t>
            </w:r>
            <w:r>
              <w:rPr>
                <w:rFonts w:hint="eastAsia" w:ascii="宋体" w:hAnsi="宋体" w:cs="宋体"/>
                <w:b w:val="0"/>
                <w:bCs/>
                <w:color w:val="auto"/>
                <w:sz w:val="21"/>
                <w:szCs w:val="21"/>
                <w:highlight w:val="none"/>
                <w:lang w:val="en-US" w:eastAsia="zh-CN"/>
              </w:rPr>
              <w:t>展馆类(含布展)设计与施工一体化业绩的</w:t>
            </w:r>
            <w:r>
              <w:rPr>
                <w:rFonts w:hint="eastAsia" w:ascii="宋体" w:hAnsi="宋体" w:eastAsia="宋体" w:cs="宋体"/>
                <w:b w:val="0"/>
                <w:bCs/>
                <w:color w:val="auto"/>
                <w:sz w:val="21"/>
                <w:szCs w:val="21"/>
                <w:highlight w:val="none"/>
                <w:lang w:val="en-US" w:eastAsia="zh-CN"/>
              </w:rPr>
              <w:t>得</w:t>
            </w: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en-US" w:eastAsia="zh-CN"/>
              </w:rPr>
              <w:t>分</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提供</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个单项合同不低于50万元</w:t>
            </w:r>
            <w:r>
              <w:rPr>
                <w:rFonts w:hint="eastAsia" w:ascii="宋体" w:hAnsi="宋体" w:cs="宋体"/>
                <w:b w:val="0"/>
                <w:bCs/>
                <w:color w:val="auto"/>
                <w:sz w:val="21"/>
                <w:szCs w:val="21"/>
                <w:highlight w:val="none"/>
                <w:lang w:val="en-US" w:eastAsia="zh-CN"/>
              </w:rPr>
              <w:t>廉洁文化教育基地室内展厅设计与施工一体化业绩的</w:t>
            </w:r>
            <w:r>
              <w:rPr>
                <w:rFonts w:hint="eastAsia" w:ascii="宋体" w:hAnsi="宋体" w:eastAsia="宋体" w:cs="宋体"/>
                <w:b w:val="0"/>
                <w:bCs/>
                <w:color w:val="auto"/>
                <w:sz w:val="21"/>
                <w:szCs w:val="21"/>
                <w:highlight w:val="none"/>
                <w:lang w:val="en-US" w:eastAsia="zh-CN"/>
              </w:rPr>
              <w:t>得10分；其他的不得分，本项满分10分。</w:t>
            </w:r>
          </w:p>
          <w:p w14:paraId="776760AE">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【投标文件中须提供合同扫描件；若上述材料均未体现评分内容的还须另外提供业主证明材料扫描件。】</w:t>
            </w:r>
          </w:p>
          <w:p w14:paraId="095437D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注：①展馆类指:文化馆、艺术馆、博物馆、科技馆、展览馆、党史馆此类展馆(不</w:t>
            </w:r>
          </w:p>
          <w:p w14:paraId="1BAEBB6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包括临时性展览馆或展示厅)</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否则不予认可。</w:t>
            </w:r>
          </w:p>
          <w:p w14:paraId="2857C80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②廉洁文化教育基地</w:t>
            </w:r>
            <w:r>
              <w:rPr>
                <w:rFonts w:hint="eastAsia" w:ascii="宋体" w:hAnsi="宋体" w:cs="宋体"/>
                <w:b w:val="0"/>
                <w:bCs/>
                <w:color w:val="auto"/>
                <w:sz w:val="21"/>
                <w:szCs w:val="21"/>
                <w:highlight w:val="none"/>
                <w:lang w:val="en-US" w:eastAsia="zh-CN"/>
              </w:rPr>
              <w:t>指</w:t>
            </w:r>
            <w:r>
              <w:rPr>
                <w:rFonts w:hint="eastAsia" w:ascii="宋体" w:hAnsi="宋体" w:eastAsia="宋体" w:cs="宋体"/>
                <w:b w:val="0"/>
                <w:bCs/>
                <w:color w:val="auto"/>
                <w:sz w:val="21"/>
                <w:szCs w:val="21"/>
                <w:highlight w:val="none"/>
                <w:lang w:val="en-US" w:eastAsia="zh-CN"/>
              </w:rPr>
              <w:t>:为党委政府、纪检监察机关建设的相关业绩，否则不予认可。</w:t>
            </w:r>
          </w:p>
          <w:p w14:paraId="7BBB90A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人投标时只须提供1个评审业绩，若投标人提供业绩个数超过1个，则按照排列顺序从首个业绩开始评审至对应数量（1个），超出部分业绩不进行评审。对应数量（1个）业绩不符合招标文件要求不得分的，不再补充评审超出部分业绩。如：提供1个业绩即得满分的，按照投标文件排序评审第一项业绩，其余超出部分不再评审。</w:t>
            </w:r>
          </w:p>
        </w:tc>
      </w:tr>
    </w:tbl>
    <w:p w14:paraId="6EF3540D">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w:t>
      </w:r>
      <w:r>
        <w:rPr>
          <w:rFonts w:hint="eastAsia" w:cs="Times New Roman"/>
          <w:b/>
          <w:color w:val="auto"/>
          <w:sz w:val="28"/>
          <w:szCs w:val="21"/>
          <w:highlight w:val="none"/>
          <w:lang w:val="en-US" w:eastAsia="zh-CN"/>
        </w:rPr>
        <w:t>二</w:t>
      </w:r>
      <w:r>
        <w:rPr>
          <w:rFonts w:hint="eastAsia" w:ascii="Times New Roman" w:hAnsi="Times New Roman" w:eastAsia="宋体" w:cs="Times New Roman"/>
          <w:b/>
          <w:color w:val="auto"/>
          <w:sz w:val="28"/>
          <w:szCs w:val="21"/>
          <w:highlight w:val="none"/>
          <w:lang w:val="en-US" w:eastAsia="zh-CN"/>
        </w:rPr>
        <w:t>）技术标评分细则（</w:t>
      </w:r>
      <w:r>
        <w:rPr>
          <w:rFonts w:hint="eastAsia" w:cs="Times New Roman"/>
          <w:b/>
          <w:color w:val="auto"/>
          <w:sz w:val="28"/>
          <w:szCs w:val="21"/>
          <w:highlight w:val="none"/>
          <w:lang w:val="en-US" w:eastAsia="zh-CN"/>
        </w:rPr>
        <w:t>5</w:t>
      </w:r>
      <w:r>
        <w:rPr>
          <w:rFonts w:hint="eastAsia" w:ascii="Times New Roman" w:hAnsi="Times New Roman" w:cs="Times New Roman"/>
          <w:b/>
          <w:color w:val="auto"/>
          <w:sz w:val="28"/>
          <w:szCs w:val="21"/>
          <w:highlight w:val="none"/>
          <w:lang w:val="en-US" w:eastAsia="zh-CN"/>
        </w:rPr>
        <w:t>0</w:t>
      </w:r>
      <w:r>
        <w:rPr>
          <w:rFonts w:hint="eastAsia" w:ascii="Times New Roman" w:hAnsi="Times New Roman" w:eastAsia="宋体" w:cs="Times New Roman"/>
          <w:b/>
          <w:color w:val="auto"/>
          <w:sz w:val="28"/>
          <w:szCs w:val="21"/>
          <w:highlight w:val="none"/>
          <w:lang w:val="en-US" w:eastAsia="zh-CN"/>
        </w:rPr>
        <w:t>分）</w:t>
      </w:r>
    </w:p>
    <w:tbl>
      <w:tblPr>
        <w:tblStyle w:val="48"/>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609C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2170E8F6">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61FADFCE">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57803B8C">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72EE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759DB080">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1C037FD4">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042F5CA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56FC6F36">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5BD6917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6929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7670AE42">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3EB4FE53">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38BA1A1D">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367274B9">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704C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52FED09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54857E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6D267C8D">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3AE3779F">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1ABD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7B8BDF9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ADDFA12">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147488E3">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6EB34C6C">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23CB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restart"/>
            <w:noWrap w:val="0"/>
            <w:vAlign w:val="center"/>
          </w:tcPr>
          <w:p w14:paraId="3E80C7B3">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41" w:type="dxa"/>
            <w:gridSpan w:val="2"/>
            <w:vMerge w:val="restart"/>
            <w:noWrap w:val="0"/>
            <w:vAlign w:val="center"/>
          </w:tcPr>
          <w:p w14:paraId="3C7F98B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技术标评分标准</w:t>
            </w:r>
          </w:p>
        </w:tc>
        <w:tc>
          <w:tcPr>
            <w:tcW w:w="2239" w:type="dxa"/>
            <w:noWrap w:val="0"/>
            <w:vAlign w:val="center"/>
          </w:tcPr>
          <w:p w14:paraId="6B3DCE2D">
            <w:pPr>
              <w:spacing w:before="69"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设计方案（</w:t>
            </w:r>
            <w:r>
              <w:rPr>
                <w:rFonts w:hint="eastAsia" w:ascii="宋体" w:hAnsi="宋体" w:cs="宋体"/>
                <w:color w:val="auto"/>
                <w:spacing w:val="-2"/>
                <w:position w:val="11"/>
                <w:sz w:val="21"/>
                <w:szCs w:val="21"/>
                <w:highlight w:val="none"/>
                <w:lang w:val="en-US" w:eastAsia="zh-CN"/>
              </w:rPr>
              <w:t>25</w:t>
            </w:r>
            <w:r>
              <w:rPr>
                <w:rFonts w:hint="eastAsia" w:ascii="宋体" w:hAnsi="宋体" w:eastAsia="宋体" w:cs="宋体"/>
                <w:color w:val="auto"/>
                <w:spacing w:val="-2"/>
                <w:position w:val="11"/>
                <w:sz w:val="21"/>
                <w:szCs w:val="21"/>
                <w:highlight w:val="none"/>
                <w:lang w:val="en-US" w:eastAsia="zh-CN"/>
              </w:rPr>
              <w:t>分）</w:t>
            </w:r>
          </w:p>
        </w:tc>
        <w:tc>
          <w:tcPr>
            <w:tcW w:w="5985" w:type="dxa"/>
            <w:shd w:val="clear" w:color="auto" w:fill="auto"/>
            <w:noWrap w:val="0"/>
            <w:vAlign w:val="top"/>
          </w:tcPr>
          <w:p w14:paraId="492C67CE">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（1）项目整体创意概念（</w:t>
            </w:r>
            <w:r>
              <w:rPr>
                <w:rFonts w:hint="eastAsia" w:ascii="宋体" w:hAnsi="宋体" w:cs="宋体"/>
                <w:b/>
                <w:bCs w:val="0"/>
                <w:color w:val="auto"/>
                <w:sz w:val="21"/>
                <w:szCs w:val="21"/>
                <w:highlight w:val="none"/>
                <w:lang w:val="en-US" w:eastAsia="zh-CN"/>
              </w:rPr>
              <w:t>5</w:t>
            </w:r>
            <w:r>
              <w:rPr>
                <w:rFonts w:hint="eastAsia" w:ascii="宋体" w:hAnsi="宋体" w:eastAsia="宋体" w:cs="宋体"/>
                <w:b/>
                <w:bCs w:val="0"/>
                <w:color w:val="auto"/>
                <w:sz w:val="21"/>
                <w:szCs w:val="21"/>
                <w:highlight w:val="none"/>
                <w:lang w:val="en-US" w:eastAsia="zh-CN"/>
              </w:rPr>
              <w:t>分）</w:t>
            </w:r>
          </w:p>
          <w:p w14:paraId="1AE32AF3">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艺术创意是否新颖，设计内容是否能够全面展示立意，是否突出主题，让参观者很好的带入到场景中去，获得强烈的体验感：</w:t>
            </w:r>
            <w:r>
              <w:rPr>
                <w:rFonts w:hint="eastAsia" w:ascii="宋体" w:hAnsi="宋体" w:eastAsia="宋体" w:cs="宋体"/>
                <w:b/>
                <w:bCs w:val="0"/>
                <w:color w:val="auto"/>
                <w:sz w:val="21"/>
                <w:szCs w:val="21"/>
                <w:highlight w:val="none"/>
                <w:lang w:val="en-US" w:eastAsia="zh-CN"/>
              </w:rPr>
              <w:t>优秀得5分，良好得4分，一般得3分，合格得2分，不合格或未提供的不得分。</w:t>
            </w:r>
          </w:p>
          <w:p w14:paraId="4EA6FBB8">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（2）文化内涵（</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7D16E5EA">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布局和空间利用是否科学合理，富有创意，是否有序流畅，内容是否能够在空间内充分展示：</w:t>
            </w:r>
          </w:p>
          <w:p w14:paraId="7F29C7A2">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5AD33400">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（3）设计绘图效果</w:t>
            </w:r>
            <w:r>
              <w:rPr>
                <w:rFonts w:hint="eastAsia" w:ascii="宋体" w:hAnsi="宋体" w:cs="宋体"/>
                <w:b/>
                <w:bCs w:val="0"/>
                <w:color w:val="auto"/>
                <w:sz w:val="21"/>
                <w:szCs w:val="21"/>
                <w:highlight w:val="none"/>
                <w:lang w:val="en-US" w:eastAsia="zh-CN"/>
              </w:rPr>
              <w:t>及展示手法</w:t>
            </w:r>
            <w:r>
              <w:rPr>
                <w:rFonts w:hint="eastAsia" w:ascii="宋体" w:hAnsi="宋体" w:eastAsia="宋体" w:cs="宋体"/>
                <w:b/>
                <w:bCs w:val="0"/>
                <w:color w:val="auto"/>
                <w:sz w:val="21"/>
                <w:szCs w:val="21"/>
                <w:highlight w:val="none"/>
                <w:lang w:val="en-US" w:eastAsia="zh-CN"/>
              </w:rPr>
              <w:t>（10分）</w:t>
            </w:r>
          </w:p>
          <w:p w14:paraId="24790F1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设计效果表现是否熟练，技法是否高超，图纸是否完整，层次是否分明，画面是否很好的传达设计意图和展示内容</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展示手法是否全具有全面性、科学性、合理性，是否能够把不断发展的高新技术与展示内容完美结合：</w:t>
            </w:r>
          </w:p>
          <w:p w14:paraId="1240A5DE">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tc>
      </w:tr>
      <w:tr w14:paraId="1F42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D4B3054">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270033A2">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62D2EF4D">
            <w:pPr>
              <w:spacing w:before="69"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lang w:val="en-US" w:eastAsia="zh-CN"/>
              </w:rPr>
              <w:t>施工方案（</w:t>
            </w:r>
            <w:r>
              <w:rPr>
                <w:rFonts w:hint="eastAsia" w:ascii="宋体" w:hAnsi="宋体" w:cs="宋体"/>
                <w:color w:val="auto"/>
                <w:spacing w:val="-2"/>
                <w:position w:val="11"/>
                <w:sz w:val="21"/>
                <w:szCs w:val="21"/>
                <w:highlight w:val="none"/>
                <w:lang w:val="en-US" w:eastAsia="zh-CN"/>
              </w:rPr>
              <w:t>25</w:t>
            </w:r>
            <w:r>
              <w:rPr>
                <w:rFonts w:hint="eastAsia" w:ascii="宋体" w:hAnsi="宋体" w:eastAsia="宋体" w:cs="宋体"/>
                <w:color w:val="auto"/>
                <w:spacing w:val="-2"/>
                <w:position w:val="11"/>
                <w:sz w:val="21"/>
                <w:szCs w:val="21"/>
                <w:highlight w:val="none"/>
                <w:lang w:val="en-US" w:eastAsia="zh-CN"/>
              </w:rPr>
              <w:t>分）</w:t>
            </w:r>
          </w:p>
        </w:tc>
        <w:tc>
          <w:tcPr>
            <w:tcW w:w="5985" w:type="dxa"/>
            <w:shd w:val="clear" w:color="auto" w:fill="auto"/>
            <w:noWrap w:val="0"/>
            <w:vAlign w:val="top"/>
          </w:tcPr>
          <w:p w14:paraId="7D85FC26">
            <w:pPr>
              <w:numPr>
                <w:ilvl w:val="0"/>
                <w:numId w:val="0"/>
              </w:num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（1）质量、进度、安全管控措施（</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16CF01CB">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结合投标人针对本项目编制的质量管理体系、工期统筹排布、重难点施工管控、安全文明施工及隐患防控方案等：</w:t>
            </w:r>
          </w:p>
          <w:p w14:paraId="4F37471A">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59C05C89">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（2）主材选型、材质标准及耐久性保障（</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5A4A5ACB">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根据投标人项目所用主材、辅材规格选型、执行标准、材质性能、防腐防潮、抗老化、成品防护等耐久性配套工艺方案，选材贴合项目工况及其长效耐用保障措施等：</w:t>
            </w:r>
          </w:p>
          <w:p w14:paraId="42899D67">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37DCAC00">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（3）施工实施及质保服务保障措施（5分）</w:t>
            </w:r>
          </w:p>
          <w:p w14:paraId="48110F8A">
            <w:p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根据投标人提供的</w:t>
            </w:r>
            <w:r>
              <w:rPr>
                <w:rFonts w:hint="eastAsia" w:ascii="宋体" w:hAnsi="宋体" w:eastAsia="宋体" w:cs="宋体"/>
                <w:color w:val="auto"/>
                <w:sz w:val="21"/>
                <w:szCs w:val="21"/>
                <w:highlight w:val="none"/>
              </w:rPr>
              <w:t>完工后巡检、故障报修响应时限、现场维修处置流程、备品备件储备、问题整改时限等全周期服务</w:t>
            </w:r>
            <w:r>
              <w:rPr>
                <w:rFonts w:hint="eastAsia" w:ascii="宋体" w:hAnsi="宋体" w:cs="宋体"/>
                <w:color w:val="auto"/>
                <w:sz w:val="21"/>
                <w:szCs w:val="21"/>
                <w:highlight w:val="none"/>
                <w:lang w:val="en-US" w:eastAsia="zh-CN"/>
              </w:rPr>
              <w:t>保障措施进行综合评审：</w:t>
            </w:r>
          </w:p>
          <w:p w14:paraId="2BE2F882">
            <w:pPr>
              <w:jc w:val="left"/>
              <w:rPr>
                <w:rFonts w:hint="default" w:ascii="宋体" w:hAnsi="宋体" w:cs="宋体"/>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优秀得5分，良好得4分，一般得3分，合格得2分，不合格或未提供的不得分。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注</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该项由专家评委评审打分，取所有评委评分的平均值为最终得分，保留两位小数点，第三位四舍五入</w:t>
      </w:r>
      <w:r>
        <w:rPr>
          <w:rFonts w:hint="eastAsia" w:ascii="宋体" w:hAnsi="宋体" w:cs="宋体"/>
          <w:b/>
          <w:bCs/>
          <w:color w:val="auto"/>
          <w:szCs w:val="21"/>
          <w:highlight w:val="none"/>
          <w:lang w:eastAsia="zh-CN"/>
        </w:rPr>
        <w:t>。</w:t>
      </w:r>
    </w:p>
    <w:p w14:paraId="0B4C7729">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（三）商务标评审（</w:t>
      </w:r>
      <w:r>
        <w:rPr>
          <w:rFonts w:hint="eastAsia" w:cs="Times New Roman"/>
          <w:b/>
          <w:color w:val="auto"/>
          <w:sz w:val="28"/>
          <w:szCs w:val="21"/>
          <w:highlight w:val="none"/>
          <w:lang w:val="en-US" w:eastAsia="zh-CN"/>
        </w:rPr>
        <w:t>4</w:t>
      </w:r>
      <w:r>
        <w:rPr>
          <w:rFonts w:hint="eastAsia" w:ascii="Times New Roman" w:hAnsi="Times New Roman" w:eastAsia="宋体" w:cs="Times New Roman"/>
          <w:b/>
          <w:color w:val="auto"/>
          <w:sz w:val="28"/>
          <w:szCs w:val="21"/>
          <w:highlight w:val="none"/>
          <w:lang w:val="en-US" w:eastAsia="zh-CN"/>
        </w:rPr>
        <w:t>0分）</w:t>
      </w:r>
    </w:p>
    <w:tbl>
      <w:tblPr>
        <w:tblStyle w:val="48"/>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条款号</w:t>
            </w:r>
          </w:p>
        </w:tc>
        <w:tc>
          <w:tcPr>
            <w:tcW w:w="2158" w:type="dxa"/>
            <w:noWrap/>
            <w:vAlign w:val="center"/>
          </w:tcPr>
          <w:p w14:paraId="1CF92DDF">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5008" w:type="dxa"/>
            <w:noWrap/>
            <w:vAlign w:val="center"/>
          </w:tcPr>
          <w:p w14:paraId="10027A3D">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形式评审标准</w:t>
            </w:r>
          </w:p>
        </w:tc>
        <w:tc>
          <w:tcPr>
            <w:tcW w:w="2158" w:type="dxa"/>
            <w:noWrap/>
            <w:vAlign w:val="center"/>
          </w:tcPr>
          <w:p w14:paraId="73517A2E">
            <w:pPr>
              <w:spacing w:line="440" w:lineRule="exact"/>
              <w:rPr>
                <w:rFonts w:ascii="宋体" w:hAnsi="宋体" w:cs="宋体"/>
                <w:color w:val="auto"/>
                <w:szCs w:val="21"/>
                <w:highlight w:val="none"/>
              </w:rPr>
            </w:pPr>
            <w:r>
              <w:rPr>
                <w:rFonts w:hint="eastAsia" w:ascii="宋体" w:hAnsi="宋体" w:cs="宋体"/>
                <w:color w:val="auto"/>
                <w:szCs w:val="21"/>
                <w:highlight w:val="none"/>
              </w:rPr>
              <w:t>投标函签字盖章</w:t>
            </w:r>
          </w:p>
        </w:tc>
        <w:tc>
          <w:tcPr>
            <w:tcW w:w="5008" w:type="dxa"/>
            <w:noWrap/>
          </w:tcPr>
          <w:p w14:paraId="2DBE6DD3">
            <w:pPr>
              <w:spacing w:line="440" w:lineRule="exact"/>
              <w:rPr>
                <w:rFonts w:ascii="宋体" w:hAnsi="宋体" w:cs="宋体"/>
                <w:color w:val="auto"/>
                <w:szCs w:val="21"/>
                <w:highlight w:val="none"/>
              </w:rPr>
            </w:pPr>
            <w:r>
              <w:rPr>
                <w:rFonts w:hint="eastAsia" w:ascii="宋体" w:hAnsi="宋体" w:cs="宋体"/>
                <w:color w:val="auto"/>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color w:val="auto"/>
                <w:szCs w:val="21"/>
                <w:highlight w:val="none"/>
              </w:rPr>
            </w:pPr>
          </w:p>
        </w:tc>
        <w:tc>
          <w:tcPr>
            <w:tcW w:w="1860" w:type="dxa"/>
            <w:gridSpan w:val="2"/>
            <w:vMerge w:val="continue"/>
            <w:noWrap/>
          </w:tcPr>
          <w:p w14:paraId="7570E8C7">
            <w:pPr>
              <w:spacing w:line="440" w:lineRule="exact"/>
              <w:rPr>
                <w:rFonts w:ascii="宋体" w:hAnsi="宋体" w:cs="宋体"/>
                <w:color w:val="auto"/>
                <w:szCs w:val="21"/>
                <w:highlight w:val="none"/>
              </w:rPr>
            </w:pPr>
          </w:p>
        </w:tc>
        <w:tc>
          <w:tcPr>
            <w:tcW w:w="2158" w:type="dxa"/>
            <w:noWrap/>
            <w:vAlign w:val="center"/>
          </w:tcPr>
          <w:p w14:paraId="45179B0C">
            <w:pPr>
              <w:spacing w:line="440" w:lineRule="exact"/>
              <w:rPr>
                <w:rFonts w:ascii="宋体" w:hAnsi="宋体" w:cs="宋体"/>
                <w:color w:val="auto"/>
                <w:szCs w:val="21"/>
                <w:highlight w:val="none"/>
              </w:rPr>
            </w:pPr>
            <w:r>
              <w:rPr>
                <w:rFonts w:hint="eastAsia" w:ascii="宋体" w:hAnsi="宋体" w:cs="宋体"/>
                <w:color w:val="auto"/>
                <w:szCs w:val="21"/>
                <w:highlight w:val="none"/>
              </w:rPr>
              <w:t>投标文件格式</w:t>
            </w:r>
          </w:p>
        </w:tc>
        <w:tc>
          <w:tcPr>
            <w:tcW w:w="5008" w:type="dxa"/>
            <w:noWrap/>
          </w:tcPr>
          <w:p w14:paraId="24166B6D">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符合第</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color w:val="auto"/>
                <w:szCs w:val="21"/>
                <w:highlight w:val="none"/>
              </w:rPr>
            </w:pPr>
          </w:p>
        </w:tc>
        <w:tc>
          <w:tcPr>
            <w:tcW w:w="1860" w:type="dxa"/>
            <w:gridSpan w:val="2"/>
            <w:vMerge w:val="continue"/>
            <w:noWrap/>
          </w:tcPr>
          <w:p w14:paraId="083A6289">
            <w:pPr>
              <w:spacing w:line="440" w:lineRule="exact"/>
              <w:rPr>
                <w:rFonts w:ascii="宋体" w:hAnsi="宋体" w:cs="宋体"/>
                <w:color w:val="auto"/>
                <w:szCs w:val="21"/>
                <w:highlight w:val="none"/>
              </w:rPr>
            </w:pPr>
          </w:p>
        </w:tc>
        <w:tc>
          <w:tcPr>
            <w:tcW w:w="2158" w:type="dxa"/>
            <w:noWrap/>
            <w:vAlign w:val="center"/>
          </w:tcPr>
          <w:p w14:paraId="5EC25201">
            <w:pPr>
              <w:spacing w:line="440" w:lineRule="exact"/>
              <w:rPr>
                <w:rFonts w:ascii="宋体" w:hAnsi="宋体" w:cs="宋体"/>
                <w:color w:val="auto"/>
                <w:szCs w:val="21"/>
                <w:highlight w:val="none"/>
              </w:rPr>
            </w:pPr>
            <w:r>
              <w:rPr>
                <w:rFonts w:hint="eastAsia" w:ascii="宋体" w:hAnsi="宋体" w:cs="宋体"/>
                <w:color w:val="auto"/>
                <w:szCs w:val="21"/>
                <w:highlight w:val="none"/>
              </w:rPr>
              <w:t>报价唯一</w:t>
            </w:r>
          </w:p>
        </w:tc>
        <w:tc>
          <w:tcPr>
            <w:tcW w:w="5008" w:type="dxa"/>
            <w:noWrap/>
          </w:tcPr>
          <w:p w14:paraId="1080A4B7">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4.2.2</w:t>
            </w:r>
          </w:p>
        </w:tc>
        <w:tc>
          <w:tcPr>
            <w:tcW w:w="1860" w:type="dxa"/>
            <w:gridSpan w:val="2"/>
            <w:vMerge w:val="restart"/>
            <w:noWrap/>
            <w:vAlign w:val="center"/>
          </w:tcPr>
          <w:p w14:paraId="477FB6B5">
            <w:pPr>
              <w:spacing w:line="440" w:lineRule="exact"/>
              <w:rPr>
                <w:rFonts w:ascii="宋体" w:hAnsi="宋体" w:cs="宋体"/>
                <w:color w:val="auto"/>
                <w:szCs w:val="21"/>
                <w:highlight w:val="none"/>
              </w:rPr>
            </w:pPr>
            <w:r>
              <w:rPr>
                <w:rFonts w:hint="eastAsia" w:ascii="宋体" w:hAnsi="宋体" w:cs="宋体"/>
                <w:color w:val="auto"/>
                <w:szCs w:val="21"/>
                <w:highlight w:val="none"/>
              </w:rPr>
              <w:t>响应性评审标准</w:t>
            </w:r>
          </w:p>
        </w:tc>
        <w:tc>
          <w:tcPr>
            <w:tcW w:w="2158" w:type="dxa"/>
            <w:noWrap/>
            <w:vAlign w:val="center"/>
          </w:tcPr>
          <w:p w14:paraId="341144D6">
            <w:pPr>
              <w:spacing w:line="440" w:lineRule="exact"/>
              <w:rPr>
                <w:rFonts w:ascii="宋体" w:hAnsi="宋体" w:cs="宋体"/>
                <w:color w:val="auto"/>
                <w:szCs w:val="21"/>
                <w:highlight w:val="none"/>
              </w:rPr>
            </w:pP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w:t>
            </w:r>
          </w:p>
        </w:tc>
        <w:tc>
          <w:tcPr>
            <w:tcW w:w="5008" w:type="dxa"/>
            <w:noWrap/>
            <w:vAlign w:val="center"/>
          </w:tcPr>
          <w:p w14:paraId="37215412">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color w:val="auto"/>
                <w:szCs w:val="21"/>
                <w:highlight w:val="none"/>
              </w:rPr>
            </w:pPr>
          </w:p>
        </w:tc>
        <w:tc>
          <w:tcPr>
            <w:tcW w:w="1860" w:type="dxa"/>
            <w:gridSpan w:val="2"/>
            <w:vMerge w:val="continue"/>
            <w:noWrap/>
          </w:tcPr>
          <w:p w14:paraId="7B4C01AA">
            <w:pPr>
              <w:spacing w:line="440" w:lineRule="exact"/>
              <w:rPr>
                <w:rFonts w:ascii="宋体" w:hAnsi="宋体" w:cs="宋体"/>
                <w:color w:val="auto"/>
                <w:szCs w:val="21"/>
                <w:highlight w:val="none"/>
              </w:rPr>
            </w:pPr>
          </w:p>
        </w:tc>
        <w:tc>
          <w:tcPr>
            <w:tcW w:w="2158" w:type="dxa"/>
            <w:noWrap/>
            <w:vAlign w:val="center"/>
          </w:tcPr>
          <w:p w14:paraId="1A3A3F53">
            <w:pPr>
              <w:spacing w:line="440" w:lineRule="exact"/>
              <w:rPr>
                <w:rFonts w:ascii="宋体" w:hAnsi="宋体" w:cs="宋体"/>
                <w:color w:val="auto"/>
                <w:szCs w:val="21"/>
                <w:highlight w:val="none"/>
              </w:rPr>
            </w:pPr>
            <w:r>
              <w:rPr>
                <w:rFonts w:hint="eastAsia" w:ascii="宋体" w:hAnsi="宋体" w:cs="宋体"/>
                <w:color w:val="auto"/>
                <w:szCs w:val="21"/>
                <w:highlight w:val="none"/>
              </w:rPr>
              <w:t>投标有效期</w:t>
            </w:r>
          </w:p>
        </w:tc>
        <w:tc>
          <w:tcPr>
            <w:tcW w:w="5008" w:type="dxa"/>
            <w:noWrap/>
            <w:vAlign w:val="center"/>
          </w:tcPr>
          <w:p w14:paraId="4CC287BA">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color w:val="auto"/>
                <w:szCs w:val="21"/>
                <w:highlight w:val="none"/>
              </w:rPr>
            </w:pPr>
          </w:p>
        </w:tc>
        <w:tc>
          <w:tcPr>
            <w:tcW w:w="1860" w:type="dxa"/>
            <w:gridSpan w:val="2"/>
            <w:vMerge w:val="continue"/>
            <w:noWrap/>
          </w:tcPr>
          <w:p w14:paraId="6058B882">
            <w:pPr>
              <w:spacing w:line="440" w:lineRule="exact"/>
              <w:rPr>
                <w:rFonts w:ascii="宋体" w:hAnsi="宋体" w:cs="宋体"/>
                <w:color w:val="auto"/>
                <w:szCs w:val="21"/>
                <w:highlight w:val="none"/>
              </w:rPr>
            </w:pPr>
          </w:p>
        </w:tc>
        <w:tc>
          <w:tcPr>
            <w:tcW w:w="2158" w:type="dxa"/>
            <w:noWrap/>
            <w:vAlign w:val="center"/>
          </w:tcPr>
          <w:p w14:paraId="59243F41">
            <w:pPr>
              <w:spacing w:line="440" w:lineRule="exact"/>
              <w:rPr>
                <w:rFonts w:ascii="宋体" w:hAnsi="宋体" w:cs="宋体"/>
                <w:color w:val="auto"/>
                <w:szCs w:val="21"/>
                <w:highlight w:val="none"/>
              </w:rPr>
            </w:pPr>
            <w:r>
              <w:rPr>
                <w:rFonts w:hint="eastAsia" w:ascii="宋体" w:hAnsi="宋体" w:cs="宋体"/>
                <w:color w:val="auto"/>
                <w:szCs w:val="21"/>
                <w:highlight w:val="none"/>
              </w:rPr>
              <w:t>工程质量</w:t>
            </w:r>
          </w:p>
        </w:tc>
        <w:tc>
          <w:tcPr>
            <w:tcW w:w="5008" w:type="dxa"/>
            <w:noWrap/>
            <w:vAlign w:val="center"/>
          </w:tcPr>
          <w:p w14:paraId="6B69FB9B">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color w:val="auto"/>
                <w:szCs w:val="21"/>
                <w:highlight w:val="none"/>
              </w:rPr>
            </w:pPr>
          </w:p>
        </w:tc>
        <w:tc>
          <w:tcPr>
            <w:tcW w:w="1860" w:type="dxa"/>
            <w:gridSpan w:val="2"/>
            <w:vMerge w:val="continue"/>
            <w:noWrap/>
          </w:tcPr>
          <w:p w14:paraId="03CDB8FB">
            <w:pPr>
              <w:spacing w:line="440" w:lineRule="exact"/>
              <w:rPr>
                <w:rFonts w:ascii="宋体" w:hAnsi="宋体" w:cs="宋体"/>
                <w:color w:val="auto"/>
                <w:szCs w:val="21"/>
                <w:highlight w:val="none"/>
              </w:rPr>
            </w:pPr>
          </w:p>
        </w:tc>
        <w:tc>
          <w:tcPr>
            <w:tcW w:w="2158" w:type="dxa"/>
            <w:noWrap/>
            <w:vAlign w:val="center"/>
          </w:tcPr>
          <w:p w14:paraId="68CD3BA7">
            <w:pPr>
              <w:spacing w:line="440" w:lineRule="exact"/>
              <w:rPr>
                <w:rFonts w:ascii="宋体" w:hAnsi="宋体" w:cs="宋体"/>
                <w:color w:val="auto"/>
                <w:szCs w:val="21"/>
                <w:highlight w:val="none"/>
              </w:rPr>
            </w:pPr>
            <w:r>
              <w:rPr>
                <w:rFonts w:hint="eastAsia" w:ascii="宋体" w:hAnsi="宋体" w:cs="宋体"/>
                <w:color w:val="auto"/>
                <w:szCs w:val="21"/>
                <w:highlight w:val="none"/>
              </w:rPr>
              <w:t>投标文件内容</w:t>
            </w:r>
          </w:p>
        </w:tc>
        <w:tc>
          <w:tcPr>
            <w:tcW w:w="5008" w:type="dxa"/>
            <w:noWrap/>
            <w:vAlign w:val="center"/>
          </w:tcPr>
          <w:p w14:paraId="7A7D463D">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color w:val="auto"/>
                <w:szCs w:val="21"/>
                <w:highlight w:val="none"/>
              </w:rPr>
            </w:pPr>
          </w:p>
        </w:tc>
        <w:tc>
          <w:tcPr>
            <w:tcW w:w="1860" w:type="dxa"/>
            <w:gridSpan w:val="2"/>
            <w:vMerge w:val="continue"/>
            <w:noWrap/>
          </w:tcPr>
          <w:p w14:paraId="6C3BBE5A">
            <w:pPr>
              <w:spacing w:line="440" w:lineRule="exact"/>
              <w:rPr>
                <w:rFonts w:ascii="宋体" w:hAnsi="宋体" w:cs="宋体"/>
                <w:color w:val="auto"/>
                <w:szCs w:val="21"/>
                <w:highlight w:val="none"/>
              </w:rPr>
            </w:pPr>
          </w:p>
        </w:tc>
        <w:tc>
          <w:tcPr>
            <w:tcW w:w="2158" w:type="dxa"/>
            <w:noWrap/>
            <w:vAlign w:val="center"/>
          </w:tcPr>
          <w:p w14:paraId="7B8E7F30">
            <w:pPr>
              <w:spacing w:line="440" w:lineRule="exact"/>
              <w:rPr>
                <w:rFonts w:ascii="宋体" w:hAnsi="宋体" w:cs="宋体"/>
                <w:color w:val="auto"/>
                <w:szCs w:val="21"/>
                <w:highlight w:val="none"/>
              </w:rPr>
            </w:pPr>
            <w:r>
              <w:rPr>
                <w:rFonts w:hint="eastAsia" w:ascii="宋体" w:hAnsi="宋体" w:cs="宋体"/>
                <w:color w:val="auto"/>
                <w:szCs w:val="21"/>
                <w:highlight w:val="none"/>
              </w:rPr>
              <w:t>投标报价</w:t>
            </w:r>
          </w:p>
        </w:tc>
        <w:tc>
          <w:tcPr>
            <w:tcW w:w="5008" w:type="dxa"/>
            <w:noWrap/>
            <w:vAlign w:val="center"/>
          </w:tcPr>
          <w:p w14:paraId="2BF22B2C">
            <w:pPr>
              <w:spacing w:line="440" w:lineRule="exact"/>
              <w:rPr>
                <w:rFonts w:ascii="宋体" w:hAnsi="宋体" w:cs="宋体"/>
                <w:color w:val="auto"/>
                <w:szCs w:val="21"/>
                <w:highlight w:val="none"/>
              </w:rPr>
            </w:pPr>
            <w:r>
              <w:rPr>
                <w:rFonts w:hint="eastAsia" w:ascii="宋体" w:hAnsi="宋体" w:cs="宋体"/>
                <w:color w:val="auto"/>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8111" w:type="dxa"/>
            <w:gridSpan w:val="3"/>
            <w:noWrap/>
            <w:vAlign w:val="center"/>
          </w:tcPr>
          <w:p w14:paraId="39CA59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商务标评分按下列步骤计算：</w:t>
            </w:r>
          </w:p>
          <w:p w14:paraId="516D47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第一步：计算B值。</w:t>
            </w:r>
          </w:p>
          <w:p w14:paraId="1AEB2B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①B值为计算范围内有效投标人报价的算术平均值。</w:t>
            </w:r>
          </w:p>
          <w:p w14:paraId="073DE1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第二步：计算评标基准价F值。</w:t>
            </w:r>
          </w:p>
          <w:p w14:paraId="214923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①F=B×（1-K），其中K为调整系数，K的取值为-0.5%（1号），0%（2号），0.5%（3号），1.0%（4号），1.5%（5号）。</w:t>
            </w:r>
          </w:p>
          <w:p w14:paraId="481028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第三步：计算报价偏差率。</w:t>
            </w:r>
          </w:p>
          <w:p w14:paraId="7CEE52D0">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cs="宋体"/>
                <w:color w:val="auto"/>
                <w:szCs w:val="21"/>
                <w:highlight w:val="none"/>
              </w:rPr>
              <w:t>①偏差率=|（投标报价-评标基</w:t>
            </w:r>
            <w:r>
              <w:rPr>
                <w:rFonts w:hint="eastAsia" w:ascii="宋体" w:hAnsi="宋体" w:eastAsia="宋体" w:cs="宋体"/>
                <w:color w:val="auto"/>
                <w:szCs w:val="21"/>
                <w:highlight w:val="none"/>
              </w:rPr>
              <w:t>准价）/评标基准价|×100%</w:t>
            </w:r>
          </w:p>
          <w:p w14:paraId="195C60D7">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第四步：计算报价得分</w:t>
            </w:r>
          </w:p>
          <w:p w14:paraId="4C3BFD79">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①投标报价等于评标基准价的得满分。</w:t>
            </w:r>
          </w:p>
          <w:p w14:paraId="6321492A">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②投标报价高于评标基准价的，投标报价得分=报价满分值-偏差率×100×</w:t>
            </w:r>
            <w:r>
              <w:rPr>
                <w:rFonts w:hint="eastAsia" w:ascii="宋体" w:hAnsi="宋体" w:cs="宋体"/>
                <w:color w:val="auto"/>
                <w:szCs w:val="21"/>
                <w:highlight w:val="none"/>
                <w:lang w:val="en-US" w:eastAsia="zh-CN"/>
              </w:rPr>
              <w:t>0.2</w:t>
            </w:r>
          </w:p>
          <w:p w14:paraId="75D935DE">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③投标报价低于评标基准价的，投标报价得分=报价满分值-偏差率×100×0.</w:t>
            </w:r>
            <w:r>
              <w:rPr>
                <w:rFonts w:hint="eastAsia" w:ascii="宋体" w:hAnsi="宋体" w:cs="宋体"/>
                <w:color w:val="auto"/>
                <w:szCs w:val="21"/>
                <w:highlight w:val="none"/>
                <w:lang w:val="en-US" w:eastAsia="zh-CN"/>
              </w:rPr>
              <w:t>1</w:t>
            </w:r>
          </w:p>
          <w:p w14:paraId="066E3DCE">
            <w:pPr>
              <w:jc w:val="left"/>
              <w:rPr>
                <w:color w:val="auto"/>
                <w:highlight w:val="none"/>
              </w:rPr>
            </w:pPr>
            <w:r>
              <w:rPr>
                <w:rFonts w:hint="eastAsia" w:ascii="宋体" w:hAnsi="宋体" w:cs="宋体"/>
                <w:b/>
                <w:color w:val="auto"/>
                <w:szCs w:val="21"/>
                <w:highlight w:val="none"/>
              </w:rPr>
              <w:t>注：</w:t>
            </w:r>
            <w:r>
              <w:rPr>
                <w:rFonts w:hint="eastAsia" w:ascii="宋体" w:hAnsi="宋体" w:cs="宋体"/>
                <w:b/>
                <w:color w:val="auto"/>
                <w:szCs w:val="21"/>
                <w:highlight w:val="none"/>
                <w:lang w:val="en-US" w:eastAsia="zh-CN"/>
              </w:rPr>
              <w:t>该部分</w:t>
            </w:r>
            <w:r>
              <w:rPr>
                <w:rFonts w:hint="eastAsia" w:ascii="宋体" w:hAnsi="宋体" w:cs="宋体"/>
                <w:b/>
                <w:color w:val="auto"/>
                <w:szCs w:val="21"/>
                <w:highlight w:val="none"/>
              </w:rPr>
              <w:t>计算过程中，B值、评标基准价F值、偏差率、报价得分均保留两位小数，小数点后第三位四舍五入。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246996975"/>
      <w:bookmarkStart w:id="123" w:name="_Toc35425113"/>
      <w:bookmarkStart w:id="124" w:name="_Toc179632607"/>
      <w:bookmarkStart w:id="125" w:name="_Toc152045589"/>
      <w:bookmarkStart w:id="126" w:name="_Toc78803381"/>
      <w:bookmarkStart w:id="127" w:name="_Toc6491"/>
      <w:bookmarkStart w:id="128" w:name="_Toc144974556"/>
      <w:bookmarkStart w:id="129" w:name="_Toc246996232"/>
      <w:bookmarkStart w:id="130" w:name="_Toc324404872"/>
      <w:bookmarkStart w:id="131" w:name="_Toc35424947"/>
      <w:bookmarkStart w:id="132" w:name="_Toc15058913"/>
      <w:bookmarkStart w:id="133" w:name="_Toc247085747"/>
      <w:bookmarkStart w:id="134" w:name="_Toc152042366"/>
      <w:bookmarkStart w:id="135" w:name="_Toc506107324"/>
      <w:r>
        <w:rPr>
          <w:rFonts w:hint="eastAsia" w:ascii="黑体" w:hAnsi="黑体" w:eastAsia="黑体" w:cs="黑体"/>
          <w:b/>
          <w:color w:val="auto"/>
          <w:szCs w:val="21"/>
          <w:highlight w:val="none"/>
        </w:rPr>
        <w:t>商务标评审表注：</w:t>
      </w:r>
    </w:p>
    <w:p w14:paraId="198E3E65">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、只有通过详细评审的投标人才能参加评分。</w:t>
      </w:r>
    </w:p>
    <w:p w14:paraId="3E333F4A">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、本表所称投标报价是指按招标文件规定修正后的投标总报价（多算投标报价、多报费用不扣减）。</w:t>
      </w:r>
    </w:p>
    <w:p w14:paraId="2D0AEB44">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、B值计算方法：</w:t>
      </w:r>
    </w:p>
    <w:p w14:paraId="01542754">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（1）本项目T取值为10。</w:t>
      </w:r>
    </w:p>
    <w:p w14:paraId="1B8F82AD">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（2）资信技术合计分值大于等于所有通过（资信、技术、商务）详细评审有效投标人资信技术平均分值的投标人数量为M。</w:t>
      </w:r>
    </w:p>
    <w:p w14:paraId="1C22B4CB">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（3）若M 未超过 T 时，B 值为符合上述条件的 M 个投标人投标报价的算术平均值。</w:t>
      </w:r>
    </w:p>
    <w:p w14:paraId="77773020">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（4）若M 超过 T 时，B 值为符合上述条件的 M 个投标人投标报价中去除(M-T)/2【M-T 为奇数时，则为(M-T+1)/2】个最高价和(M-T)/2【M-T 为奇数时，则为(M-T-1)/2】个最低价后，剩余有效投标报价的算术平均值（如去高去低的最后一名存在报价相同的，则通过随机抽取确定被去除的投标人。只保留T个投标人的投标报价）。</w:t>
      </w:r>
    </w:p>
    <w:p w14:paraId="3BB16410">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、K值（评标基准价系数）的抽取：资信标、技术标、商务标评审完成后，招标人</w:t>
      </w:r>
      <w:r>
        <w:rPr>
          <w:rFonts w:hint="eastAsia" w:ascii="宋体" w:hAnsi="宋体" w:eastAsia="宋体" w:cs="宋体"/>
          <w:color w:val="auto"/>
          <w:szCs w:val="21"/>
          <w:highlight w:val="none"/>
          <w:lang w:val="en-US" w:eastAsia="zh-CN"/>
        </w:rPr>
        <w:t>现场</w:t>
      </w:r>
      <w:r>
        <w:rPr>
          <w:rFonts w:hint="eastAsia" w:ascii="宋体" w:hAnsi="宋体" w:eastAsia="宋体" w:cs="宋体"/>
          <w:color w:val="auto"/>
          <w:szCs w:val="21"/>
          <w:highlight w:val="none"/>
        </w:rPr>
        <w:t>抽取K值，并根据抽取的K值计算F值，评标办法中的评标基准价计算出来后，除数字计算错误外，其他情况均不再调整。</w:t>
      </w:r>
    </w:p>
    <w:p w14:paraId="59E5148A">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color w:val="auto"/>
          <w:szCs w:val="21"/>
          <w:highlight w:val="none"/>
        </w:rPr>
      </w:pPr>
      <w:bookmarkStart w:id="136" w:name="_Toc324404873"/>
      <w:bookmarkStart w:id="137" w:name="_Toc296602478"/>
      <w:bookmarkStart w:id="138" w:name="_Toc144974557"/>
      <w:bookmarkStart w:id="139" w:name="_Toc246996233"/>
      <w:bookmarkStart w:id="140" w:name="_Toc247085748"/>
      <w:bookmarkStart w:id="141" w:name="_Toc152042367"/>
      <w:bookmarkStart w:id="142" w:name="_Toc246996976"/>
      <w:bookmarkStart w:id="143" w:name="_Toc152045590"/>
      <w:bookmarkStart w:id="144" w:name="_Toc179632608"/>
      <w:r>
        <w:rPr>
          <w:rFonts w:hint="eastAsia" w:ascii="宋体" w:hAnsi="宋体" w:cs="宋体"/>
          <w:color w:val="auto"/>
          <w:szCs w:val="21"/>
          <w:highlight w:val="none"/>
        </w:rPr>
        <w:t>本次评标采用综合评估法。评标委员会对满足招标文件实质性要求的投标文件，按照本章规定的评分标准进行打分，并按总得分（</w:t>
      </w:r>
      <w:r>
        <w:rPr>
          <w:rFonts w:hint="eastAsia" w:ascii="宋体" w:hAnsi="宋体" w:cs="宋体"/>
          <w:color w:val="auto"/>
          <w:szCs w:val="21"/>
          <w:highlight w:val="none"/>
          <w:lang w:val="en-US" w:eastAsia="zh-CN"/>
        </w:rPr>
        <w:t>资信分+</w:t>
      </w:r>
      <w:r>
        <w:rPr>
          <w:rFonts w:hint="eastAsia" w:ascii="宋体" w:hAnsi="宋体" w:cs="宋体"/>
          <w:color w:val="auto"/>
          <w:szCs w:val="21"/>
          <w:highlight w:val="none"/>
        </w:rPr>
        <w:t>技术分+商务分）由高到低顺序推荐中标候选人</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名，并标明排序，但投标报价低于其成本的除外。总评分相等时，以投标报价低的优先；若投标报价也相等，由招标人抽签确定。</w:t>
      </w:r>
    </w:p>
    <w:p w14:paraId="3F12DD3B">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45" w:name="_Toc78803382"/>
      <w:bookmarkStart w:id="146" w:name="_Toc35425114"/>
      <w:bookmarkStart w:id="147" w:name="_Toc35424948"/>
      <w:bookmarkStart w:id="148" w:name="_Toc506107325"/>
      <w:bookmarkStart w:id="149" w:name="_Toc11945"/>
      <w:bookmarkStart w:id="150" w:name="_Toc15058914"/>
      <w:r>
        <w:rPr>
          <w:rFonts w:hint="eastAsia" w:ascii="宋体" w:hAnsi="宋体" w:eastAsia="宋体" w:cs="宋体"/>
          <w:color w:val="auto"/>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bookmarkStart w:id="151" w:name="_Toc78803383"/>
      <w:r>
        <w:rPr>
          <w:rFonts w:hint="eastAsia" w:ascii="宋体" w:hAnsi="宋体" w:cs="宋体"/>
          <w:color w:val="auto"/>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52" w:name="_Toc35424949"/>
      <w:bookmarkStart w:id="153" w:name="_Toc324404874"/>
      <w:bookmarkStart w:id="154" w:name="_Toc17377"/>
      <w:bookmarkStart w:id="155" w:name="_Toc15058915"/>
      <w:bookmarkStart w:id="156" w:name="_Toc506107326"/>
      <w:bookmarkStart w:id="157" w:name="_Toc35425115"/>
      <w:bookmarkStart w:id="158" w:name="_Toc78803384"/>
      <w:r>
        <w:rPr>
          <w:rFonts w:hint="eastAsia" w:ascii="宋体" w:hAnsi="宋体" w:eastAsia="宋体" w:cs="宋体"/>
          <w:color w:val="auto"/>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评标先做准备工作，先进行</w:t>
      </w:r>
      <w:r>
        <w:rPr>
          <w:rFonts w:hint="eastAsia" w:ascii="宋体" w:hAnsi="宋体" w:eastAsia="宋体" w:cs="宋体"/>
          <w:color w:val="auto"/>
          <w:szCs w:val="21"/>
          <w:highlight w:val="none"/>
          <w:lang w:val="en-US" w:eastAsia="zh-CN"/>
        </w:rPr>
        <w:t>资格审查</w:t>
      </w:r>
      <w:r>
        <w:rPr>
          <w:rFonts w:hint="eastAsia" w:ascii="宋体" w:hAnsi="宋体" w:eastAsia="宋体" w:cs="宋体"/>
          <w:color w:val="auto"/>
          <w:szCs w:val="21"/>
          <w:highlight w:val="none"/>
        </w:rPr>
        <w:t>，然后进行技术标评审，最后进行商务标评审。</w:t>
      </w:r>
    </w:p>
    <w:p w14:paraId="6E980930">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59" w:name="_Toc35424950"/>
      <w:bookmarkStart w:id="160" w:name="_Toc27389"/>
      <w:bookmarkStart w:id="161" w:name="_Toc15058916"/>
      <w:bookmarkStart w:id="162" w:name="_Toc78803385"/>
      <w:bookmarkStart w:id="163" w:name="_Toc35425116"/>
      <w:r>
        <w:rPr>
          <w:rFonts w:hint="eastAsia" w:ascii="宋体" w:hAnsi="宋体" w:eastAsia="宋体" w:cs="宋体"/>
          <w:color w:val="auto"/>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（4）核对评标工作用表。</w:t>
      </w:r>
    </w:p>
    <w:p w14:paraId="136FCFB9">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64" w:name="_Toc35425117"/>
      <w:bookmarkStart w:id="165" w:name="_Toc1299"/>
      <w:bookmarkStart w:id="166" w:name="_Toc15058917"/>
      <w:bookmarkStart w:id="167" w:name="_Toc78803386"/>
      <w:bookmarkStart w:id="168" w:name="_Toc35424951"/>
      <w:bookmarkStart w:id="169" w:name="_Toc24650"/>
      <w:bookmarkStart w:id="170" w:name="_Toc12200"/>
      <w:bookmarkStart w:id="171" w:name="_Toc324404875"/>
      <w:bookmarkStart w:id="172" w:name="_Toc15058919"/>
      <w:bookmarkStart w:id="173" w:name="_Toc35424954"/>
      <w:bookmarkStart w:id="174" w:name="_Toc506107327"/>
      <w:bookmarkStart w:id="175" w:name="_Toc35425120"/>
      <w:r>
        <w:rPr>
          <w:rFonts w:hint="eastAsia" w:ascii="宋体" w:hAnsi="宋体" w:eastAsia="宋体" w:cs="宋体"/>
          <w:color w:val="auto"/>
          <w:highlight w:val="none"/>
        </w:rPr>
        <w:t>3.2</w:t>
      </w:r>
      <w:r>
        <w:rPr>
          <w:rFonts w:hint="eastAsia" w:ascii="宋体" w:hAnsi="宋体" w:eastAsia="宋体" w:cs="宋体"/>
          <w:color w:val="auto"/>
          <w:highlight w:val="none"/>
          <w:lang w:val="en-US" w:eastAsia="zh-CN"/>
        </w:rPr>
        <w:t>资信</w:t>
      </w:r>
      <w:r>
        <w:rPr>
          <w:rFonts w:hint="eastAsia" w:ascii="宋体" w:hAnsi="宋体" w:eastAsia="宋体" w:cs="宋体"/>
          <w:color w:val="auto"/>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rPr>
        <w:t>详见</w:t>
      </w:r>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标评审表。</w:t>
      </w:r>
    </w:p>
    <w:p w14:paraId="13E391E0">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详见技术标评审表。</w:t>
      </w:r>
    </w:p>
    <w:p w14:paraId="3DC15C5A">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76" w:name="_Toc11990"/>
      <w:bookmarkStart w:id="177" w:name="_Toc35425118"/>
      <w:bookmarkStart w:id="178" w:name="_Toc35424952"/>
      <w:bookmarkStart w:id="179" w:name="_Toc15058918"/>
      <w:bookmarkStart w:id="180" w:name="_Toc17468"/>
      <w:bookmarkStart w:id="181" w:name="_Toc78803387"/>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18087"/>
      <w:bookmarkStart w:id="183" w:name="_Toc78803388"/>
      <w:bookmarkStart w:id="184" w:name="_Toc26895"/>
      <w:bookmarkStart w:id="185" w:name="_Toc35424953"/>
      <w:bookmarkStart w:id="186" w:name="_Toc35425119"/>
      <w:r>
        <w:rPr>
          <w:rStyle w:val="198"/>
          <w:rFonts w:hint="eastAsia" w:ascii="宋体" w:hAnsi="宋体" w:eastAsia="宋体" w:cs="宋体"/>
          <w:color w:val="auto"/>
          <w:highlight w:val="none"/>
        </w:rPr>
        <w:t>3.</w:t>
      </w:r>
      <w:r>
        <w:rPr>
          <w:rStyle w:val="198"/>
          <w:rFonts w:hint="eastAsia" w:ascii="宋体" w:hAnsi="宋体" w:cs="宋体"/>
          <w:color w:val="auto"/>
          <w:highlight w:val="none"/>
          <w:lang w:val="en-US"/>
        </w:rPr>
        <w:t>5</w:t>
      </w:r>
      <w:r>
        <w:rPr>
          <w:rStyle w:val="198"/>
          <w:rFonts w:hint="eastAsia" w:ascii="宋体" w:hAnsi="宋体" w:eastAsia="宋体" w:cs="宋体"/>
          <w:color w:val="auto"/>
          <w:highlight w:val="none"/>
        </w:rPr>
        <w:t>推荐中标候选人</w:t>
      </w:r>
      <w:bookmarkEnd w:id="182"/>
      <w:bookmarkEnd w:id="183"/>
      <w:bookmarkEnd w:id="184"/>
      <w:bookmarkEnd w:id="185"/>
      <w:bookmarkEnd w:id="186"/>
      <w:r>
        <w:rPr>
          <w:rFonts w:hint="eastAsia" w:ascii="宋体" w:hAnsi="宋体" w:cs="宋体"/>
          <w:b/>
          <w:bCs/>
          <w:color w:val="auto"/>
          <w:highlight w:val="none"/>
        </w:rPr>
        <w:t>：</w:t>
      </w:r>
      <w:r>
        <w:rPr>
          <w:rFonts w:hint="eastAsia" w:ascii="宋体" w:hAnsi="宋体" w:cs="宋体"/>
          <w:color w:val="auto"/>
          <w:highlight w:val="none"/>
        </w:rPr>
        <w:t>资</w:t>
      </w:r>
      <w:r>
        <w:rPr>
          <w:rFonts w:hint="eastAsia" w:ascii="宋体" w:hAnsi="宋体" w:cs="宋体"/>
          <w:color w:val="auto"/>
          <w:highlight w:val="none"/>
          <w:lang w:val="en-US" w:eastAsia="zh-CN"/>
        </w:rPr>
        <w:t>格审查</w:t>
      </w:r>
      <w:r>
        <w:rPr>
          <w:rFonts w:hint="eastAsia" w:ascii="宋体" w:hAnsi="宋体" w:cs="宋体"/>
          <w:color w:val="auto"/>
          <w:highlight w:val="none"/>
        </w:rPr>
        <w:t>、技术标评审、商务标评审后，推荐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87" w:name="_Toc78803389"/>
      <w:r>
        <w:rPr>
          <w:rFonts w:hint="eastAsia" w:ascii="宋体" w:hAnsi="宋体" w:eastAsia="宋体" w:cs="宋体"/>
          <w:color w:val="auto"/>
          <w:highlight w:val="none"/>
        </w:rPr>
        <w:t>4.评审内容</w:t>
      </w:r>
      <w:bookmarkEnd w:id="170"/>
      <w:bookmarkEnd w:id="171"/>
      <w:bookmarkEnd w:id="172"/>
      <w:bookmarkEnd w:id="173"/>
      <w:bookmarkEnd w:id="174"/>
      <w:bookmarkEnd w:id="175"/>
      <w:bookmarkEnd w:id="187"/>
    </w:p>
    <w:p w14:paraId="0F1392E9">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88" w:name="_Toc9630"/>
      <w:bookmarkStart w:id="189" w:name="_Toc78803390"/>
      <w:r>
        <w:rPr>
          <w:rFonts w:hint="eastAsia" w:ascii="宋体" w:hAnsi="宋体" w:eastAsia="宋体" w:cs="宋体"/>
          <w:color w:val="auto"/>
          <w:highlight w:val="none"/>
        </w:rPr>
        <w:t>4.1</w:t>
      </w:r>
      <w:bookmarkEnd w:id="188"/>
      <w:bookmarkEnd w:id="189"/>
      <w:bookmarkStart w:id="190" w:name="_Toc35424956"/>
      <w:bookmarkStart w:id="191" w:name="_Toc78803391"/>
      <w:bookmarkStart w:id="192" w:name="_Toc3531"/>
      <w:bookmarkStart w:id="193" w:name="_Toc35425122"/>
      <w:bookmarkStart w:id="194" w:name="_Toc15058921"/>
      <w:bookmarkStart w:id="195" w:name="_Toc324404876"/>
      <w:r>
        <w:rPr>
          <w:rFonts w:hint="eastAsia" w:ascii="宋体" w:hAnsi="宋体" w:eastAsia="宋体" w:cs="宋体"/>
          <w:color w:val="auto"/>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96" w:name="_Toc78803392"/>
      <w:bookmarkStart w:id="197" w:name="_Toc15058922"/>
      <w:bookmarkStart w:id="198" w:name="_Toc506107328"/>
      <w:bookmarkStart w:id="199" w:name="_Toc35425123"/>
      <w:bookmarkStart w:id="200" w:name="_Toc13125"/>
      <w:bookmarkStart w:id="201" w:name="_Toc35424957"/>
      <w:r>
        <w:rPr>
          <w:rFonts w:hint="eastAsia" w:ascii="宋体" w:hAnsi="宋体" w:eastAsia="宋体" w:cs="宋体"/>
          <w:color w:val="auto"/>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）法律、法规规定的其他情形。</w:t>
      </w:r>
    </w:p>
    <w:p w14:paraId="6C2FB7F4">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02" w:name="_Toc27846"/>
      <w:bookmarkStart w:id="203" w:name="_Toc15058923"/>
      <w:bookmarkStart w:id="204" w:name="_Toc35424958"/>
      <w:bookmarkStart w:id="205" w:name="_Toc506107329"/>
      <w:bookmarkStart w:id="206" w:name="_Toc35425124"/>
      <w:bookmarkStart w:id="207" w:name="_Toc78803393"/>
      <w:bookmarkStart w:id="208" w:name="_Toc324404877"/>
      <w:r>
        <w:rPr>
          <w:rFonts w:hint="eastAsia" w:ascii="宋体" w:hAnsi="宋体" w:eastAsia="宋体" w:cs="宋体"/>
          <w:color w:val="auto"/>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09" w:name="_Toc35424959"/>
      <w:bookmarkStart w:id="210" w:name="_Toc35425125"/>
      <w:bookmarkStart w:id="211" w:name="_Toc324404878"/>
      <w:bookmarkStart w:id="212" w:name="_Toc506107330"/>
      <w:bookmarkStart w:id="213" w:name="_Toc13990"/>
      <w:bookmarkStart w:id="214" w:name="_Toc15058924"/>
      <w:bookmarkStart w:id="215" w:name="_Toc78803394"/>
      <w:r>
        <w:rPr>
          <w:rFonts w:hint="eastAsia" w:ascii="宋体" w:hAnsi="宋体" w:eastAsia="宋体" w:cs="宋体"/>
          <w:color w:val="auto"/>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color w:val="auto"/>
          <w:szCs w:val="21"/>
          <w:highlight w:val="none"/>
        </w:rPr>
      </w:pPr>
      <w:bookmarkStart w:id="216" w:name="_Toc324404879"/>
      <w:bookmarkStart w:id="217" w:name="_Toc78803395"/>
      <w:bookmarkStart w:id="218" w:name="_Toc35425126"/>
      <w:bookmarkStart w:id="219" w:name="_Toc35424960"/>
      <w:bookmarkStart w:id="220" w:name="_Toc15058925"/>
      <w:bookmarkStart w:id="221" w:name="_Toc506107331"/>
      <w:bookmarkStart w:id="222" w:name="_Toc22863"/>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标评分标准：见</w:t>
      </w:r>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商务标评分标准：见商务标评审表。</w:t>
      </w:r>
    </w:p>
    <w:p w14:paraId="26B2972C">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23" w:name="_Toc324404880"/>
      <w:bookmarkStart w:id="224" w:name="_Toc15058926"/>
      <w:bookmarkStart w:id="225" w:name="_Toc35425127"/>
      <w:bookmarkStart w:id="226" w:name="_Toc506107332"/>
      <w:bookmarkStart w:id="227" w:name="_Toc35424961"/>
      <w:bookmarkStart w:id="228" w:name="_Toc1576"/>
      <w:bookmarkStart w:id="229" w:name="_Toc78803396"/>
      <w:r>
        <w:rPr>
          <w:rFonts w:hint="eastAsia" w:ascii="宋体" w:hAnsi="宋体" w:eastAsia="宋体" w:cs="宋体"/>
          <w:color w:val="auto"/>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color w:val="auto"/>
          <w:highlight w:val="none"/>
        </w:rPr>
      </w:pPr>
      <w:r>
        <w:rPr>
          <w:rFonts w:hint="eastAsia" w:ascii="宋体" w:hAnsi="宋体" w:cs="宋体"/>
          <w:color w:val="auto"/>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152042387"/>
      <w:bookmarkStart w:id="231" w:name="_Toc246996995"/>
      <w:bookmarkStart w:id="232" w:name="_Toc152045609"/>
      <w:bookmarkStart w:id="233" w:name="_Toc179632627"/>
      <w:bookmarkStart w:id="234" w:name="_Toc144974577"/>
      <w:bookmarkStart w:id="235" w:name="_Toc324404881"/>
      <w:bookmarkStart w:id="236" w:name="_Toc246996252"/>
      <w:bookmarkStart w:id="237" w:name="_Toc247085767"/>
      <w:bookmarkStart w:id="238" w:name="_Toc417623601"/>
    </w:p>
    <w:bookmarkEnd w:id="230"/>
    <w:bookmarkEnd w:id="231"/>
    <w:bookmarkEnd w:id="232"/>
    <w:bookmarkEnd w:id="233"/>
    <w:bookmarkEnd w:id="234"/>
    <w:bookmarkEnd w:id="235"/>
    <w:bookmarkEnd w:id="236"/>
    <w:bookmarkEnd w:id="237"/>
    <w:bookmarkEnd w:id="238"/>
    <w:p w14:paraId="01EE8AAD">
      <w:pPr>
        <w:rPr>
          <w:color w:val="auto"/>
          <w:highlight w:val="none"/>
        </w:rPr>
      </w:pPr>
      <w:bookmarkStart w:id="239" w:name="_Toc15058927"/>
      <w:bookmarkStart w:id="240" w:name="_Toc35424962"/>
      <w:bookmarkStart w:id="241" w:name="_Toc506107333"/>
      <w:bookmarkStart w:id="242" w:name="_Toc152042546"/>
      <w:bookmarkStart w:id="243" w:name="_Toc35425128"/>
      <w:bookmarkStart w:id="244" w:name="_Toc152045767"/>
      <w:bookmarkStart w:id="245" w:name="_Toc144974826"/>
      <w:bookmarkStart w:id="246" w:name="_Toc179632785"/>
    </w:p>
    <w:p w14:paraId="65923B12">
      <w:pPr>
        <w:rPr>
          <w:rFonts w:hint="eastAsia"/>
          <w:color w:val="auto"/>
          <w:highlight w:val="none"/>
        </w:rPr>
      </w:pPr>
      <w:r>
        <w:rPr>
          <w:rFonts w:hint="eastAsia"/>
          <w:color w:val="auto"/>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5"/>
        <w:spacing w:beforeLines="50" w:afterLines="50" w:line="440" w:lineRule="exact"/>
        <w:rPr>
          <w:rFonts w:hint="eastAsia" w:eastAsia="宋体" w:cs="Times New Roman"/>
          <w:bCs/>
          <w:color w:val="auto"/>
          <w:szCs w:val="32"/>
          <w:highlight w:val="none"/>
          <w:lang w:val="en-US" w:eastAsia="zh-CN"/>
        </w:rPr>
      </w:pPr>
      <w:bookmarkStart w:id="248" w:name="_Toc15058934"/>
      <w:bookmarkStart w:id="249" w:name="_Toc246997097"/>
      <w:bookmarkStart w:id="250" w:name="_Toc78803398"/>
      <w:bookmarkStart w:id="251" w:name="_Toc324404888"/>
      <w:bookmarkStart w:id="252" w:name="_Toc247085872"/>
      <w:bookmarkStart w:id="253" w:name="_Toc179632806"/>
      <w:bookmarkStart w:id="254" w:name="_Toc35425136"/>
      <w:bookmarkStart w:id="255" w:name="_Toc506107340"/>
      <w:bookmarkStart w:id="256" w:name="_Toc144974855"/>
      <w:bookmarkStart w:id="257" w:name="_Toc152045786"/>
      <w:bookmarkStart w:id="258" w:name="_Toc35424970"/>
      <w:bookmarkStart w:id="259" w:name="_Toc152042575"/>
      <w:bookmarkStart w:id="260" w:name="_Toc246996354"/>
      <w:r>
        <w:rPr>
          <w:rFonts w:hint="eastAsia" w:eastAsia="宋体" w:cs="Times New Roman"/>
          <w:bCs/>
          <w:color w:val="auto"/>
          <w:szCs w:val="32"/>
          <w:highlight w:val="none"/>
        </w:rPr>
        <w:t>第</w:t>
      </w:r>
      <w:r>
        <w:rPr>
          <w:rFonts w:hint="eastAsia" w:eastAsia="宋体" w:cs="Times New Roman"/>
          <w:bCs/>
          <w:color w:val="auto"/>
          <w:szCs w:val="32"/>
          <w:highlight w:val="none"/>
          <w:lang w:val="en-US" w:eastAsia="zh-CN"/>
        </w:rPr>
        <w:t>五</w:t>
      </w:r>
      <w:r>
        <w:rPr>
          <w:rFonts w:hint="eastAsia" w:eastAsia="宋体" w:cs="Times New Roman"/>
          <w:bCs/>
          <w:color w:val="auto"/>
          <w:szCs w:val="32"/>
          <w:highlight w:val="none"/>
        </w:rPr>
        <w:t xml:space="preserve">章 </w:t>
      </w:r>
      <w:r>
        <w:rPr>
          <w:rFonts w:hint="eastAsia" w:cs="Times New Roman"/>
          <w:bCs/>
          <w:color w:val="auto"/>
          <w:szCs w:val="32"/>
          <w:highlight w:val="none"/>
          <w:lang w:val="en-US" w:eastAsia="zh-CN"/>
        </w:rPr>
        <w:t>采购需求</w:t>
      </w:r>
    </w:p>
    <w:p w14:paraId="66BF3B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一、项目概况</w:t>
      </w:r>
    </w:p>
    <w:p w14:paraId="13FF67A2">
      <w:pPr>
        <w:widowControl/>
        <w:spacing w:line="480" w:lineRule="exact"/>
        <w:ind w:firstLine="420" w:firstLineChars="200"/>
        <w:jc w:val="left"/>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本项目为滁州至南京城际铁路（滁州段）廉洁主题营造</w:t>
      </w:r>
      <w:r>
        <w:rPr>
          <w:rStyle w:val="51"/>
          <w:rFonts w:ascii="宋体" w:hAnsi="宋体" w:eastAsia="宋体" w:cs="宋体"/>
          <w:color w:val="auto"/>
          <w:kern w:val="0"/>
          <w:szCs w:val="21"/>
          <w:highlight w:val="none"/>
          <w:lang w:bidi="ar"/>
        </w:rPr>
        <w:t>设计施工一体化</w:t>
      </w:r>
      <w:r>
        <w:rPr>
          <w:rFonts w:ascii="宋体" w:hAnsi="宋体" w:eastAsia="宋体" w:cs="宋体"/>
          <w:color w:val="auto"/>
          <w:kern w:val="0"/>
          <w:szCs w:val="21"/>
          <w:highlight w:val="none"/>
          <w:lang w:bidi="ar"/>
        </w:rPr>
        <w:t>项目。整体采用</w:t>
      </w:r>
      <w:r>
        <w:rPr>
          <w:rStyle w:val="51"/>
          <w:rFonts w:ascii="宋体" w:hAnsi="宋体" w:eastAsia="宋体" w:cs="宋体"/>
          <w:color w:val="auto"/>
          <w:kern w:val="0"/>
          <w:szCs w:val="21"/>
          <w:highlight w:val="none"/>
          <w:lang w:bidi="ar"/>
        </w:rPr>
        <w:t>点线面全域布局模式</w:t>
      </w:r>
      <w:r>
        <w:rPr>
          <w:rFonts w:ascii="宋体" w:hAnsi="宋体" w:eastAsia="宋体" w:cs="宋体"/>
          <w:b/>
          <w:bCs/>
          <w:color w:val="auto"/>
          <w:kern w:val="0"/>
          <w:szCs w:val="21"/>
          <w:highlight w:val="none"/>
          <w:lang w:bidi="ar"/>
        </w:rPr>
        <w:t>，以苏滁商务中心站为核心主展示点位，汊河站、高铁站、滁州政务中心站、琅琊山站为</w:t>
      </w:r>
      <w:r>
        <w:rPr>
          <w:rFonts w:hint="eastAsia" w:ascii="宋体" w:hAnsi="宋体" w:eastAsia="宋体" w:cs="宋体"/>
          <w:b/>
          <w:bCs/>
          <w:color w:val="auto"/>
          <w:kern w:val="0"/>
          <w:szCs w:val="21"/>
          <w:highlight w:val="none"/>
          <w:lang w:bidi="ar"/>
        </w:rPr>
        <w:t>轻量化点缀展示</w:t>
      </w:r>
      <w:r>
        <w:rPr>
          <w:rFonts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bidi="ar"/>
        </w:rPr>
        <w:t>结合一列主题列车，</w:t>
      </w:r>
      <w:r>
        <w:rPr>
          <w:rFonts w:ascii="宋体" w:hAnsi="宋体" w:eastAsia="宋体" w:cs="宋体"/>
          <w:b/>
          <w:bCs/>
          <w:color w:val="auto"/>
          <w:kern w:val="0"/>
          <w:szCs w:val="21"/>
          <w:highlight w:val="none"/>
          <w:lang w:bidi="ar"/>
        </w:rPr>
        <w:t>串联形成轨道廉洁文化展示</w:t>
      </w:r>
      <w:r>
        <w:rPr>
          <w:rFonts w:hint="eastAsia" w:ascii="宋体" w:hAnsi="宋体" w:eastAsia="宋体" w:cs="宋体"/>
          <w:b/>
          <w:bCs/>
          <w:color w:val="auto"/>
          <w:kern w:val="0"/>
          <w:szCs w:val="21"/>
          <w:highlight w:val="none"/>
          <w:lang w:bidi="ar"/>
        </w:rPr>
        <w:t>空间</w:t>
      </w:r>
      <w:r>
        <w:rPr>
          <w:rFonts w:ascii="宋体" w:hAnsi="宋体" w:eastAsia="宋体" w:cs="宋体"/>
          <w:b/>
          <w:bCs/>
          <w:color w:val="auto"/>
          <w:kern w:val="0"/>
          <w:szCs w:val="21"/>
          <w:highlight w:val="none"/>
          <w:lang w:bidi="ar"/>
        </w:rPr>
        <w:t>；</w:t>
      </w:r>
      <w:r>
        <w:rPr>
          <w:rFonts w:ascii="宋体" w:hAnsi="宋体" w:eastAsia="宋体" w:cs="宋体"/>
          <w:color w:val="auto"/>
          <w:kern w:val="0"/>
          <w:szCs w:val="21"/>
          <w:highlight w:val="none"/>
          <w:lang w:bidi="ar"/>
        </w:rPr>
        <w:t>深度挖掘滁州本土历史人文、地域特色与清流河生态底蕴，结合</w:t>
      </w:r>
      <w:r>
        <w:rPr>
          <w:rFonts w:hint="eastAsia" w:ascii="宋体" w:hAnsi="宋体" w:eastAsia="宋体" w:cs="宋体"/>
          <w:color w:val="auto"/>
          <w:kern w:val="0"/>
          <w:szCs w:val="21"/>
          <w:highlight w:val="none"/>
          <w:lang w:bidi="ar"/>
        </w:rPr>
        <w:t>轨道交通</w:t>
      </w:r>
      <w:r>
        <w:rPr>
          <w:rFonts w:ascii="宋体" w:hAnsi="宋体" w:eastAsia="宋体" w:cs="宋体"/>
          <w:color w:val="auto"/>
          <w:kern w:val="0"/>
          <w:szCs w:val="21"/>
          <w:highlight w:val="none"/>
          <w:lang w:bidi="ar"/>
        </w:rPr>
        <w:t>空间打造沉浸式、开放式廉洁文化宣教阵地。面向市民、公职人员、青少年</w:t>
      </w:r>
      <w:r>
        <w:rPr>
          <w:rFonts w:hint="eastAsia" w:ascii="宋体" w:hAnsi="宋体" w:eastAsia="宋体" w:cs="宋体"/>
          <w:color w:val="auto"/>
          <w:kern w:val="0"/>
          <w:szCs w:val="21"/>
          <w:highlight w:val="none"/>
          <w:lang w:bidi="ar"/>
        </w:rPr>
        <w:t>等多</w:t>
      </w:r>
      <w:r>
        <w:rPr>
          <w:rFonts w:ascii="宋体" w:hAnsi="宋体" w:eastAsia="宋体" w:cs="宋体"/>
          <w:color w:val="auto"/>
          <w:kern w:val="0"/>
          <w:szCs w:val="21"/>
          <w:highlight w:val="none"/>
          <w:lang w:bidi="ar"/>
        </w:rPr>
        <w:t>群体，构建多点联动、全域渗透的流动廉政教育空间，彰显滁州清正的政治生态与深厚城市文化底蕴。</w:t>
      </w:r>
    </w:p>
    <w:p w14:paraId="74343F5A">
      <w:pPr>
        <w:widowControl/>
        <w:spacing w:line="48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主题：</w:t>
      </w:r>
      <w:r>
        <w:rPr>
          <w:rFonts w:ascii="宋体" w:hAnsi="宋体" w:eastAsia="宋体" w:cs="宋体"/>
          <w:color w:val="auto"/>
          <w:kern w:val="0"/>
          <w:szCs w:val="21"/>
          <w:highlight w:val="none"/>
          <w:lang w:bidi="ar"/>
        </w:rPr>
        <w:t>廉润清流，廉伴同行</w:t>
      </w:r>
      <w:r>
        <w:rPr>
          <w:rFonts w:hint="eastAsia" w:ascii="宋体" w:hAnsi="宋体" w:eastAsia="宋体" w:cs="宋体"/>
          <w:color w:val="auto"/>
          <w:kern w:val="0"/>
          <w:szCs w:val="21"/>
          <w:highlight w:val="none"/>
          <w:lang w:bidi="ar"/>
        </w:rPr>
        <w:t>。</w:t>
      </w:r>
    </w:p>
    <w:p w14:paraId="73F02E43">
      <w:pPr>
        <w:widowControl/>
        <w:spacing w:line="480" w:lineRule="exact"/>
        <w:ind w:firstLine="420" w:firstLineChars="200"/>
        <w:jc w:val="left"/>
        <w:rPr>
          <w:rFonts w:hint="eastAsia"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项目预算：</w:t>
      </w:r>
      <w:r>
        <w:rPr>
          <w:rFonts w:hint="eastAsia" w:ascii="宋体" w:hAnsi="宋体" w:eastAsia="宋体" w:cs="宋体"/>
          <w:color w:val="auto"/>
          <w:kern w:val="0"/>
          <w:szCs w:val="21"/>
          <w:highlight w:val="none"/>
          <w:lang w:bidi="ar"/>
        </w:rPr>
        <w:t>6</w:t>
      </w:r>
      <w:r>
        <w:rPr>
          <w:rFonts w:ascii="宋体" w:hAnsi="宋体" w:eastAsia="宋体" w:cs="宋体"/>
          <w:color w:val="auto"/>
          <w:kern w:val="0"/>
          <w:szCs w:val="21"/>
          <w:highlight w:val="none"/>
          <w:lang w:bidi="ar"/>
        </w:rPr>
        <w:t>0万元整。</w:t>
      </w:r>
    </w:p>
    <w:p w14:paraId="560882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二、总体设计要求</w:t>
      </w:r>
    </w:p>
    <w:p w14:paraId="242CE2E3">
      <w:pPr>
        <w:pStyle w:val="6"/>
        <w:widowControl/>
        <w:spacing w:beforeAutospacing="0" w:afterAutospacing="0" w:line="480" w:lineRule="exact"/>
        <w:ind w:firstLine="422" w:firstLineChars="200"/>
        <w:rPr>
          <w:rFonts w:hint="default"/>
          <w:color w:val="auto"/>
          <w:sz w:val="21"/>
          <w:szCs w:val="21"/>
          <w:highlight w:val="none"/>
        </w:rPr>
      </w:pPr>
      <w:r>
        <w:rPr>
          <w:color w:val="auto"/>
          <w:sz w:val="21"/>
          <w:szCs w:val="21"/>
          <w:highlight w:val="none"/>
        </w:rPr>
        <w:t>（一）设计定位</w:t>
      </w:r>
    </w:p>
    <w:p w14:paraId="65446A68">
      <w:pPr>
        <w:widowControl/>
        <w:spacing w:line="480" w:lineRule="exact"/>
        <w:ind w:firstLine="420" w:firstLineChars="200"/>
        <w:rPr>
          <w:rFonts w:ascii="宋体" w:hAnsi="宋体" w:eastAsia="宋体"/>
          <w:color w:val="auto"/>
          <w:szCs w:val="21"/>
          <w:highlight w:val="none"/>
        </w:rPr>
      </w:pPr>
      <w:r>
        <w:rPr>
          <w:rFonts w:ascii="宋体" w:hAnsi="宋体" w:eastAsia="宋体"/>
          <w:color w:val="auto"/>
          <w:szCs w:val="21"/>
          <w:highlight w:val="none"/>
        </w:rPr>
        <w:t>1.使用功能：本项目设计成果用于打造全域廉洁教育基地，投标人需统筹规划</w:t>
      </w:r>
      <w:r>
        <w:rPr>
          <w:rStyle w:val="51"/>
          <w:rFonts w:ascii="宋体" w:hAnsi="宋体" w:eastAsia="宋体"/>
          <w:color w:val="auto"/>
          <w:szCs w:val="21"/>
          <w:highlight w:val="none"/>
        </w:rPr>
        <w:t>主站深度参观动线 + 各分站</w:t>
      </w:r>
      <w:r>
        <w:rPr>
          <w:rStyle w:val="51"/>
          <w:rFonts w:hint="eastAsia" w:ascii="宋体" w:hAnsi="宋体" w:eastAsia="宋体"/>
          <w:color w:val="auto"/>
          <w:szCs w:val="21"/>
          <w:highlight w:val="none"/>
        </w:rPr>
        <w:t>点轻量化点缀展示</w:t>
      </w:r>
      <w:r>
        <w:rPr>
          <w:rFonts w:ascii="宋体" w:hAnsi="宋体" w:eastAsia="宋体"/>
          <w:color w:val="auto"/>
          <w:szCs w:val="21"/>
          <w:highlight w:val="none"/>
        </w:rPr>
        <w:t>，</w:t>
      </w:r>
      <w:r>
        <w:rPr>
          <w:rFonts w:hint="eastAsia" w:ascii="宋体" w:hAnsi="宋体" w:eastAsia="宋体"/>
          <w:color w:val="auto"/>
          <w:szCs w:val="21"/>
          <w:highlight w:val="none"/>
        </w:rPr>
        <w:t>逻辑合理</w:t>
      </w:r>
      <w:r>
        <w:rPr>
          <w:rFonts w:ascii="宋体" w:hAnsi="宋体" w:eastAsia="宋体"/>
          <w:color w:val="auto"/>
          <w:szCs w:val="21"/>
          <w:highlight w:val="none"/>
        </w:rPr>
        <w:t>清晰、内容层次丰富、节奏舒缓自然，避免生硬宣讲式布局。</w:t>
      </w:r>
      <w:r>
        <w:rPr>
          <w:rFonts w:hint="eastAsia" w:ascii="宋体" w:hAnsi="宋体" w:eastAsia="宋体"/>
          <w:color w:val="auto"/>
          <w:szCs w:val="21"/>
          <w:highlight w:val="none"/>
        </w:rPr>
        <w:t>功能上要</w:t>
      </w:r>
      <w:r>
        <w:rPr>
          <w:rFonts w:ascii="宋体" w:hAnsi="宋体" w:eastAsia="宋体"/>
          <w:color w:val="auto"/>
          <w:szCs w:val="21"/>
          <w:highlight w:val="none"/>
        </w:rPr>
        <w:t>覆盖市民、公职人员、游客、青少年全人群观赏、研学、科普</w:t>
      </w:r>
      <w:r>
        <w:rPr>
          <w:rFonts w:hint="eastAsia" w:ascii="宋体" w:hAnsi="宋体" w:eastAsia="宋体"/>
          <w:color w:val="auto"/>
          <w:szCs w:val="21"/>
          <w:highlight w:val="none"/>
        </w:rPr>
        <w:t>、教育</w:t>
      </w:r>
      <w:r>
        <w:rPr>
          <w:rFonts w:ascii="宋体" w:hAnsi="宋体" w:eastAsia="宋体"/>
          <w:color w:val="auto"/>
          <w:szCs w:val="21"/>
          <w:highlight w:val="none"/>
        </w:rPr>
        <w:t>需求，构建多点联动的开放式公共廉洁文化空间。</w:t>
      </w:r>
    </w:p>
    <w:p w14:paraId="57849D27">
      <w:pPr>
        <w:widowControl/>
        <w:spacing w:line="480" w:lineRule="exact"/>
        <w:ind w:firstLine="420" w:firstLineChars="200"/>
        <w:rPr>
          <w:rFonts w:ascii="宋体" w:hAnsi="宋体" w:eastAsia="宋体"/>
          <w:color w:val="auto"/>
          <w:szCs w:val="21"/>
          <w:highlight w:val="none"/>
        </w:rPr>
      </w:pPr>
      <w:r>
        <w:rPr>
          <w:rFonts w:hint="eastAsia" w:ascii="宋体" w:hAnsi="宋体" w:eastAsia="宋体" w:cs="宋体"/>
          <w:color w:val="auto"/>
          <w:kern w:val="0"/>
          <w:szCs w:val="21"/>
          <w:highlight w:val="none"/>
          <w:lang w:bidi="ar"/>
        </w:rPr>
        <w:t>2.设计元素：有机融合滁州本土历史文脉、名人廉吏典故、城乡生态人文、特色非遗凤画，</w:t>
      </w:r>
      <w:r>
        <w:rPr>
          <w:rFonts w:ascii="宋体" w:hAnsi="宋体" w:eastAsia="宋体" w:cs="宋体"/>
          <w:color w:val="auto"/>
          <w:kern w:val="0"/>
          <w:szCs w:val="21"/>
          <w:highlight w:val="none"/>
          <w:lang w:bidi="ar"/>
        </w:rPr>
        <w:t>弱化直白说教式标语陈列，坚持润物无声、潜移默化的表达逻辑。深挖</w:t>
      </w:r>
      <w:r>
        <w:rPr>
          <w:rFonts w:hint="eastAsia" w:ascii="宋体" w:hAnsi="宋体" w:eastAsia="宋体" w:cs="宋体"/>
          <w:color w:val="auto"/>
          <w:kern w:val="0"/>
          <w:szCs w:val="21"/>
          <w:highlight w:val="none"/>
          <w:lang w:bidi="ar"/>
        </w:rPr>
        <w:t>廉洁</w:t>
      </w:r>
      <w:r>
        <w:rPr>
          <w:rFonts w:ascii="宋体" w:hAnsi="宋体" w:eastAsia="宋体" w:cs="宋体"/>
          <w:color w:val="auto"/>
          <w:kern w:val="0"/>
          <w:szCs w:val="21"/>
          <w:highlight w:val="none"/>
          <w:lang w:bidi="ar"/>
        </w:rPr>
        <w:t>文化内涵，</w:t>
      </w:r>
      <w:r>
        <w:rPr>
          <w:rFonts w:hint="eastAsia" w:ascii="宋体" w:hAnsi="宋体" w:eastAsia="宋体"/>
          <w:color w:val="auto"/>
          <w:szCs w:val="21"/>
          <w:highlight w:val="none"/>
        </w:rPr>
        <w:t>杜绝千篇一律同质化设计，构建主次分明、轻重适配的轨道廉洁文化空间。</w:t>
      </w:r>
      <w:r>
        <w:rPr>
          <w:rFonts w:hint="eastAsia" w:ascii="宋体" w:hAnsi="宋体" w:eastAsia="宋体" w:cs="宋体"/>
          <w:color w:val="auto"/>
          <w:szCs w:val="21"/>
          <w:highlight w:val="none"/>
        </w:rPr>
        <w:t>各站点设计元素具体要求如下：</w:t>
      </w:r>
    </w:p>
    <w:p w14:paraId="5883F32E">
      <w:pPr>
        <w:widowControl/>
        <w:spacing w:line="48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lang w:val="en-US" w:eastAsia="zh-CN"/>
        </w:rPr>
        <w:t>1）</w:t>
      </w:r>
      <w:r>
        <w:rPr>
          <w:rFonts w:hint="eastAsia" w:ascii="宋体" w:hAnsi="宋体" w:eastAsia="宋体"/>
          <w:b/>
          <w:bCs/>
          <w:color w:val="auto"/>
          <w:szCs w:val="21"/>
          <w:highlight w:val="none"/>
        </w:rPr>
        <w:t>核心主站：苏滁商务中心站（重点深度展示点位）</w:t>
      </w:r>
    </w:p>
    <w:p w14:paraId="600A005E">
      <w:pPr>
        <w:widowControl/>
        <w:spacing w:line="48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作为整套廉洁文化空间的核心枢纽与形象主阵地，承担廉洁文化总展示、研学主打卡、核心叙事载体功能，结合站点地理位置、地域特色，</w:t>
      </w:r>
      <w:r>
        <w:rPr>
          <w:rFonts w:hint="eastAsia" w:ascii="宋体" w:hAnsi="宋体" w:eastAsia="宋体"/>
          <w:b/>
          <w:bCs/>
          <w:color w:val="auto"/>
          <w:szCs w:val="21"/>
          <w:highlight w:val="none"/>
        </w:rPr>
        <w:t>可考虑以清流河为文化基底，</w:t>
      </w:r>
      <w:r>
        <w:rPr>
          <w:rFonts w:hint="eastAsia" w:ascii="宋体" w:hAnsi="宋体" w:eastAsia="宋体"/>
          <w:color w:val="auto"/>
          <w:szCs w:val="21"/>
          <w:highlight w:val="none"/>
        </w:rPr>
        <w:t>做全维度、体系化深度设计，设置完整参观动线、多层次艺术装置、沉浸式叙事展陈、打卡互动区域，内容体系完整、视觉形象统一，是全线廉洁文化的集中展示窗口。</w:t>
      </w:r>
    </w:p>
    <w:p w14:paraId="25C75CC9">
      <w:pPr>
        <w:widowControl/>
        <w:spacing w:line="48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lang w:val="en-US" w:eastAsia="zh-CN"/>
        </w:rPr>
        <w:t>2）</w:t>
      </w:r>
      <w:r>
        <w:rPr>
          <w:rFonts w:hint="eastAsia" w:ascii="宋体" w:hAnsi="宋体" w:eastAsia="宋体"/>
          <w:b/>
          <w:bCs/>
          <w:color w:val="auto"/>
          <w:szCs w:val="21"/>
          <w:highlight w:val="none"/>
        </w:rPr>
        <w:t>四大点缀特色站点（轻量化差异化点缀展示）</w:t>
      </w:r>
    </w:p>
    <w:p w14:paraId="036A2A20">
      <w:pPr>
        <w:widowControl/>
        <w:spacing w:line="48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汊河站、高铁站、滁州政务中心站、琅琊山站均定位特色点缀，不做大规模成套展列，可适当增加互动打卡点，以轻量化载体为主，</w:t>
      </w:r>
      <w:r>
        <w:rPr>
          <w:rFonts w:hint="eastAsia" w:ascii="宋体" w:hAnsi="宋体" w:eastAsia="宋体"/>
          <w:b/>
          <w:bCs/>
          <w:color w:val="auto"/>
          <w:szCs w:val="21"/>
          <w:highlight w:val="none"/>
        </w:rPr>
        <w:t>结合所属站点地理位置、地域特色</w:t>
      </w:r>
      <w:r>
        <w:rPr>
          <w:rFonts w:hint="eastAsia" w:ascii="宋体" w:hAnsi="宋体" w:eastAsia="宋体"/>
          <w:color w:val="auto"/>
          <w:szCs w:val="21"/>
          <w:highlight w:val="none"/>
        </w:rPr>
        <w:t>，打造专属廉洁表达，各站各有侧重、特色互不重复。</w:t>
      </w:r>
    </w:p>
    <w:p w14:paraId="532C08FC">
      <w:pPr>
        <w:widowControl/>
        <w:spacing w:line="480" w:lineRule="exact"/>
        <w:ind w:firstLine="422" w:firstLineChars="200"/>
        <w:rPr>
          <w:rStyle w:val="51"/>
          <w:rFonts w:ascii="宋体" w:hAnsi="宋体" w:eastAsia="宋体" w:cs="宋体"/>
          <w:color w:val="auto"/>
          <w:szCs w:val="21"/>
          <w:highlight w:val="none"/>
        </w:rPr>
      </w:pPr>
      <w:r>
        <w:rPr>
          <w:rStyle w:val="51"/>
          <w:rFonts w:hint="eastAsia" w:ascii="宋体" w:hAnsi="宋体" w:eastAsia="宋体" w:cs="宋体"/>
          <w:color w:val="auto"/>
          <w:szCs w:val="21"/>
          <w:highlight w:val="none"/>
          <w:lang w:eastAsia="zh-CN"/>
        </w:rPr>
        <w:t>（</w:t>
      </w:r>
      <w:r>
        <w:rPr>
          <w:rStyle w:val="51"/>
          <w:rFonts w:hint="eastAsia" w:ascii="宋体" w:hAnsi="宋体" w:eastAsia="宋体" w:cs="宋体"/>
          <w:color w:val="auto"/>
          <w:szCs w:val="21"/>
          <w:highlight w:val="none"/>
          <w:lang w:val="en-US" w:eastAsia="zh-CN"/>
        </w:rPr>
        <w:t>3）</w:t>
      </w:r>
      <w:r>
        <w:rPr>
          <w:rStyle w:val="51"/>
          <w:rFonts w:ascii="宋体" w:hAnsi="宋体" w:eastAsia="宋体" w:cs="宋体"/>
          <w:color w:val="auto"/>
          <w:szCs w:val="21"/>
          <w:highlight w:val="none"/>
        </w:rPr>
        <w:t>流动配套载体：廉洁主题列车（移动轻量化流动展厅）</w:t>
      </w:r>
    </w:p>
    <w:p w14:paraId="738DFA6C">
      <w:pPr>
        <w:widowControl/>
        <w:spacing w:line="480" w:lineRule="exact"/>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将</w:t>
      </w:r>
      <w:r>
        <w:rPr>
          <w:rFonts w:hint="eastAsia" w:ascii="宋体" w:hAnsi="宋体" w:eastAsia="宋体" w:cs="宋体"/>
          <w:b/>
          <w:bCs/>
          <w:color w:val="auto"/>
          <w:szCs w:val="21"/>
          <w:highlight w:val="none"/>
        </w:rPr>
        <w:t>一列</w:t>
      </w:r>
      <w:r>
        <w:rPr>
          <w:rFonts w:ascii="宋体" w:hAnsi="宋体" w:eastAsia="宋体" w:cs="宋体"/>
          <w:b/>
          <w:bCs/>
          <w:color w:val="auto"/>
          <w:szCs w:val="21"/>
          <w:highlight w:val="none"/>
        </w:rPr>
        <w:t>列车</w:t>
      </w:r>
      <w:r>
        <w:rPr>
          <w:rFonts w:ascii="宋体" w:hAnsi="宋体" w:eastAsia="宋体" w:cs="宋体"/>
          <w:color w:val="auto"/>
          <w:szCs w:val="21"/>
          <w:highlight w:val="none"/>
        </w:rPr>
        <w:t>打造为廉洁文化宣传载体，作为五大固定站点的动态补充。车厢内</w:t>
      </w:r>
      <w:r>
        <w:rPr>
          <w:rFonts w:hint="eastAsia" w:ascii="宋体" w:hAnsi="宋体" w:eastAsia="宋体" w:cs="宋体"/>
          <w:color w:val="auto"/>
          <w:szCs w:val="21"/>
          <w:highlight w:val="none"/>
        </w:rPr>
        <w:t>装饰</w:t>
      </w:r>
      <w:r>
        <w:rPr>
          <w:rFonts w:ascii="宋体" w:hAnsi="宋体" w:eastAsia="宋体" w:cs="宋体"/>
          <w:color w:val="auto"/>
          <w:szCs w:val="21"/>
          <w:highlight w:val="none"/>
        </w:rPr>
        <w:t>不</w:t>
      </w:r>
      <w:r>
        <w:rPr>
          <w:rFonts w:hint="eastAsia" w:ascii="宋体" w:hAnsi="宋体" w:eastAsia="宋体" w:cs="宋体"/>
          <w:color w:val="auto"/>
          <w:szCs w:val="21"/>
          <w:highlight w:val="none"/>
        </w:rPr>
        <w:t>可</w:t>
      </w:r>
      <w:r>
        <w:rPr>
          <w:rFonts w:ascii="宋体" w:hAnsi="宋体" w:eastAsia="宋体" w:cs="宋体"/>
          <w:color w:val="auto"/>
          <w:szCs w:val="21"/>
          <w:highlight w:val="none"/>
        </w:rPr>
        <w:t>影响乘车通行</w:t>
      </w:r>
      <w:r>
        <w:rPr>
          <w:rFonts w:hint="eastAsia" w:ascii="宋体" w:hAnsi="宋体" w:eastAsia="宋体" w:cs="宋体"/>
          <w:color w:val="auto"/>
          <w:szCs w:val="21"/>
          <w:highlight w:val="none"/>
        </w:rPr>
        <w:t>，同样以轻量化载体为主，</w:t>
      </w:r>
      <w:r>
        <w:rPr>
          <w:rFonts w:ascii="宋体" w:hAnsi="宋体" w:eastAsia="宋体" w:cs="宋体"/>
          <w:color w:val="auto"/>
          <w:szCs w:val="21"/>
          <w:highlight w:val="none"/>
        </w:rPr>
        <w:t>形成 “固定站点静态展示 + 主题列车动态传播” 互补格局。</w:t>
      </w:r>
    </w:p>
    <w:p w14:paraId="1F6D10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w:t>
      </w:r>
      <w:r>
        <w:rPr>
          <w:rFonts w:hint="eastAsia" w:ascii="宋体" w:hAnsi="宋体" w:cs="宋体"/>
          <w:b/>
          <w:bCs/>
          <w:color w:val="auto"/>
          <w:kern w:val="0"/>
          <w:sz w:val="21"/>
          <w:szCs w:val="21"/>
          <w:highlight w:val="none"/>
          <w:lang w:val="en-US" w:eastAsia="zh-CN" w:bidi="ar"/>
        </w:rPr>
        <w:t>二</w:t>
      </w:r>
      <w:r>
        <w:rPr>
          <w:rFonts w:hint="eastAsia" w:ascii="宋体" w:hAnsi="宋体" w:eastAsia="宋体" w:cs="宋体"/>
          <w:b/>
          <w:bCs/>
          <w:color w:val="auto"/>
          <w:kern w:val="0"/>
          <w:sz w:val="21"/>
          <w:szCs w:val="21"/>
          <w:highlight w:val="none"/>
          <w:lang w:val="en-US" w:eastAsia="zh-CN" w:bidi="ar"/>
        </w:rPr>
        <w:t>）设计原则</w:t>
      </w:r>
    </w:p>
    <w:p w14:paraId="6FF8F178">
      <w:pPr>
        <w:widowControl/>
        <w:numPr>
          <w:ilvl w:val="0"/>
          <w:numId w:val="1"/>
        </w:numPr>
        <w:spacing w:line="480" w:lineRule="exact"/>
        <w:ind w:left="0" w:firstLine="420" w:firstLineChars="200"/>
        <w:rPr>
          <w:rFonts w:ascii="宋体" w:hAnsi="宋体" w:eastAsia="宋体"/>
          <w:color w:val="auto"/>
          <w:szCs w:val="21"/>
          <w:highlight w:val="none"/>
        </w:rPr>
      </w:pPr>
      <w:r>
        <w:rPr>
          <w:rFonts w:ascii="宋体" w:hAnsi="宋体" w:eastAsia="宋体"/>
          <w:color w:val="auto"/>
          <w:szCs w:val="21"/>
          <w:highlight w:val="none"/>
        </w:rPr>
        <w:t>实用性原则：方案适配苏滁商务中心站、汊河站、高铁站、滁州政务中心站、琅琊山站</w:t>
      </w:r>
      <w:r>
        <w:rPr>
          <w:rFonts w:hint="eastAsia" w:ascii="宋体" w:hAnsi="宋体" w:eastAsia="宋体"/>
          <w:color w:val="auto"/>
          <w:szCs w:val="21"/>
          <w:highlight w:val="none"/>
        </w:rPr>
        <w:t>及一列列车</w:t>
      </w:r>
      <w:r>
        <w:rPr>
          <w:rFonts w:ascii="宋体" w:hAnsi="宋体" w:eastAsia="宋体"/>
          <w:color w:val="auto"/>
          <w:szCs w:val="21"/>
          <w:highlight w:val="none"/>
        </w:rPr>
        <w:t>全部站点空间，所有设计不得遮挡通行通道、设备、消防及标识标牌，优先保障轨道交通正常通行运营；各站点根据空间大小、客流属性差异化规划展示体量。</w:t>
      </w:r>
    </w:p>
    <w:p w14:paraId="50E79CE8">
      <w:pPr>
        <w:widowControl/>
        <w:numPr>
          <w:ilvl w:val="0"/>
          <w:numId w:val="1"/>
        </w:numPr>
        <w:spacing w:line="480" w:lineRule="exact"/>
        <w:ind w:left="0" w:firstLine="420" w:firstLineChars="200"/>
        <w:rPr>
          <w:rFonts w:ascii="宋体" w:hAnsi="宋体" w:eastAsia="宋体"/>
          <w:color w:val="auto"/>
          <w:szCs w:val="21"/>
          <w:highlight w:val="none"/>
        </w:rPr>
      </w:pPr>
      <w:r>
        <w:rPr>
          <w:rFonts w:ascii="宋体" w:hAnsi="宋体" w:eastAsia="宋体"/>
          <w:color w:val="auto"/>
          <w:szCs w:val="21"/>
          <w:highlight w:val="none"/>
        </w:rPr>
        <w:t>落地适配原则：</w:t>
      </w:r>
      <w:r>
        <w:rPr>
          <w:rFonts w:hint="eastAsia" w:ascii="宋体" w:hAnsi="宋体" w:eastAsia="宋体" w:cs="宋体"/>
          <w:color w:val="auto"/>
          <w:szCs w:val="21"/>
          <w:highlight w:val="none"/>
        </w:rPr>
        <w:t>全线所有站点、主题列车的设计方案均不得破坏车站及车厢原有设备、饰面、装修与固定装置，全部装饰采用无损安装形式。</w:t>
      </w:r>
      <w:r>
        <w:rPr>
          <w:rFonts w:ascii="宋体" w:hAnsi="宋体" w:eastAsia="宋体"/>
          <w:color w:val="auto"/>
          <w:szCs w:val="21"/>
          <w:highlight w:val="none"/>
        </w:rPr>
        <w:t>设计阶段充分考虑车站</w:t>
      </w:r>
      <w:r>
        <w:rPr>
          <w:rFonts w:hint="eastAsia" w:ascii="宋体" w:hAnsi="宋体" w:eastAsia="宋体"/>
          <w:color w:val="auto"/>
          <w:szCs w:val="21"/>
          <w:highlight w:val="none"/>
        </w:rPr>
        <w:t>车内</w:t>
      </w:r>
      <w:r>
        <w:rPr>
          <w:rFonts w:ascii="宋体" w:hAnsi="宋体" w:eastAsia="宋体"/>
          <w:color w:val="auto"/>
          <w:szCs w:val="21"/>
          <w:highlight w:val="none"/>
        </w:rPr>
        <w:t>人流密集、多尘、潮湿、易磕碰的运营环境，创意造型、材料选型需预留耐久、易维护落地方案；若设计方案选材、造型无法满足车站长期运维标准，甲方有权要求中标方无偿优化调整设计，不产生额外费用。</w:t>
      </w:r>
    </w:p>
    <w:p w14:paraId="002D917A">
      <w:pPr>
        <w:widowControl/>
        <w:numPr>
          <w:ilvl w:val="0"/>
          <w:numId w:val="1"/>
        </w:numPr>
        <w:spacing w:line="480" w:lineRule="exact"/>
        <w:ind w:left="0" w:firstLine="420" w:firstLineChars="200"/>
        <w:rPr>
          <w:rFonts w:hint="eastAsia" w:ascii="宋体" w:hAnsi="宋体" w:eastAsia="宋体"/>
          <w:color w:val="auto"/>
          <w:szCs w:val="21"/>
          <w:highlight w:val="none"/>
        </w:rPr>
      </w:pPr>
      <w:r>
        <w:rPr>
          <w:rFonts w:ascii="宋体" w:hAnsi="宋体" w:eastAsia="宋体"/>
          <w:color w:val="auto"/>
          <w:szCs w:val="21"/>
          <w:highlight w:val="none"/>
        </w:rPr>
        <w:t>经济性原则：创意表达优先，合理</w:t>
      </w:r>
      <w:r>
        <w:rPr>
          <w:rFonts w:hint="eastAsia" w:ascii="宋体" w:hAnsi="宋体" w:eastAsia="宋体"/>
          <w:color w:val="auto"/>
          <w:szCs w:val="21"/>
          <w:highlight w:val="none"/>
        </w:rPr>
        <w:t>分配各站点施工预算，有效把控</w:t>
      </w:r>
      <w:r>
        <w:rPr>
          <w:rFonts w:ascii="宋体" w:hAnsi="宋体" w:eastAsia="宋体"/>
          <w:color w:val="auto"/>
          <w:szCs w:val="21"/>
          <w:highlight w:val="none"/>
        </w:rPr>
        <w:t>落地造价，杜绝过度堆砌、奢华造型，兼顾文化表现力、落地实用性与成本管控平衡。</w:t>
      </w:r>
    </w:p>
    <w:p w14:paraId="30436D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三、施工要求</w:t>
      </w:r>
    </w:p>
    <w:p w14:paraId="25D6464E">
      <w:pPr>
        <w:widowControl/>
        <w:spacing w:line="560" w:lineRule="exact"/>
        <w:ind w:firstLine="420" w:firstLineChars="200"/>
        <w:jc w:val="left"/>
        <w:rPr>
          <w:rFonts w:ascii="宋体" w:hAnsi="宋体" w:eastAsia="宋体"/>
          <w:color w:val="auto"/>
          <w:szCs w:val="21"/>
          <w:highlight w:val="none"/>
        </w:rPr>
      </w:pPr>
      <w:r>
        <w:rPr>
          <w:rFonts w:ascii="宋体" w:hAnsi="宋体" w:eastAsia="宋体" w:cs="宋体"/>
          <w:color w:val="auto"/>
          <w:kern w:val="0"/>
          <w:szCs w:val="21"/>
          <w:highlight w:val="none"/>
          <w:lang w:bidi="ar"/>
        </w:rPr>
        <w:t>材质选型、规格参数、工艺标准、详细报价为本次施工</w:t>
      </w:r>
      <w:r>
        <w:rPr>
          <w:rStyle w:val="51"/>
          <w:rFonts w:ascii="宋体" w:hAnsi="宋体" w:eastAsia="宋体" w:cs="宋体"/>
          <w:color w:val="auto"/>
          <w:kern w:val="0"/>
          <w:szCs w:val="21"/>
          <w:highlight w:val="none"/>
          <w:lang w:bidi="ar"/>
        </w:rPr>
        <w:t>核心评审要素</w:t>
      </w:r>
      <w:r>
        <w:rPr>
          <w:rFonts w:ascii="宋体" w:hAnsi="宋体" w:eastAsia="宋体" w:cs="宋体"/>
          <w:color w:val="auto"/>
          <w:kern w:val="0"/>
          <w:szCs w:val="21"/>
          <w:highlight w:val="none"/>
          <w:lang w:bidi="ar"/>
        </w:rPr>
        <w:t>，所有材质需适配轨道交通公共空间高频使用、长期运维场景，兼顾耐久性、安全性、经济性、美观性。</w:t>
      </w:r>
    </w:p>
    <w:p w14:paraId="2853D2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（一）通用材质核心要求</w:t>
      </w:r>
    </w:p>
    <w:p w14:paraId="32CD286D">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1.</w:t>
      </w:r>
      <w:r>
        <w:rPr>
          <w:rFonts w:ascii="宋体" w:hAnsi="宋体" w:eastAsia="宋体" w:cs="宋体"/>
          <w:color w:val="auto"/>
          <w:kern w:val="0"/>
          <w:szCs w:val="21"/>
          <w:highlight w:val="none"/>
          <w:lang w:bidi="ar"/>
        </w:rPr>
        <w:t>耐久性：所有材质必须满足防潮、防霉变、耐磨擦、防刮花、抗老化、易清洁、耐灰尘、抗轻微磕碰要求，适配车站常年恒温、封闭、人流密集的使用环境，质保期内无褪色、变形、起皮、开裂、脱落问题。若</w:t>
      </w:r>
      <w:r>
        <w:rPr>
          <w:rFonts w:hint="eastAsia" w:ascii="宋体" w:hAnsi="宋体" w:eastAsia="宋体" w:cs="宋体"/>
          <w:color w:val="auto"/>
          <w:kern w:val="0"/>
          <w:szCs w:val="21"/>
          <w:highlight w:val="none"/>
          <w:lang w:val="en-US" w:eastAsia="zh-CN" w:bidi="ar"/>
        </w:rPr>
        <w:t>招标人</w:t>
      </w:r>
      <w:r>
        <w:rPr>
          <w:rFonts w:ascii="宋体" w:hAnsi="宋体" w:eastAsia="宋体" w:cs="宋体"/>
          <w:color w:val="auto"/>
          <w:kern w:val="0"/>
          <w:szCs w:val="21"/>
          <w:highlight w:val="none"/>
          <w:lang w:bidi="ar"/>
        </w:rPr>
        <w:t>核验材质不满足耐久性、安全性使用标准，</w:t>
      </w:r>
      <w:r>
        <w:rPr>
          <w:rFonts w:hint="eastAsia" w:ascii="宋体" w:hAnsi="宋体" w:eastAsia="宋体" w:cs="宋体"/>
          <w:color w:val="auto"/>
          <w:kern w:val="0"/>
          <w:szCs w:val="21"/>
          <w:highlight w:val="none"/>
          <w:lang w:val="en-US" w:eastAsia="zh-CN" w:bidi="ar"/>
        </w:rPr>
        <w:t>中标人</w:t>
      </w:r>
      <w:r>
        <w:rPr>
          <w:rFonts w:ascii="宋体" w:hAnsi="宋体" w:eastAsia="宋体" w:cs="宋体"/>
          <w:color w:val="auto"/>
          <w:kern w:val="0"/>
          <w:szCs w:val="21"/>
          <w:highlight w:val="none"/>
          <w:lang w:bidi="ar"/>
        </w:rPr>
        <w:t>必须无偿调整更换、重新施工，不得增加任何合同费用。</w:t>
      </w:r>
    </w:p>
    <w:p w14:paraId="0394A3A9">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2.</w:t>
      </w:r>
      <w:r>
        <w:rPr>
          <w:rFonts w:ascii="宋体" w:hAnsi="宋体" w:eastAsia="宋体" w:cs="宋体"/>
          <w:color w:val="auto"/>
          <w:kern w:val="0"/>
          <w:szCs w:val="21"/>
          <w:highlight w:val="none"/>
          <w:lang w:bidi="ar"/>
        </w:rPr>
        <w:t>安全性：所有材质符合国家公共建筑、轨道交通消防规范，达到阻燃、防火、环保E0级标准，无异味、无有害挥发物质，安全无毒、稳固耐用。</w:t>
      </w:r>
    </w:p>
    <w:p w14:paraId="78573780">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3.</w:t>
      </w:r>
      <w:r>
        <w:rPr>
          <w:rFonts w:ascii="宋体" w:hAnsi="宋体" w:eastAsia="宋体" w:cs="宋体"/>
          <w:color w:val="auto"/>
          <w:kern w:val="0"/>
          <w:szCs w:val="21"/>
          <w:highlight w:val="none"/>
          <w:lang w:bidi="ar"/>
        </w:rPr>
        <w:t>适配性：材质轻薄、贴合度高，不破坏原有建筑墙体、立柱、天顶、机电设备结构，便于后期运维清洁、内容更新。</w:t>
      </w:r>
    </w:p>
    <w:p w14:paraId="44F910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（二）项目实施及验收要求</w:t>
      </w:r>
    </w:p>
    <w:p w14:paraId="22019B56">
      <w:pPr>
        <w:widowControl/>
        <w:spacing w:line="560" w:lineRule="exact"/>
        <w:ind w:firstLine="420" w:firstLineChars="200"/>
        <w:jc w:val="left"/>
        <w:rPr>
          <w:rFonts w:ascii="宋体" w:hAnsi="宋体" w:eastAsia="宋体"/>
          <w:color w:val="auto"/>
          <w:szCs w:val="21"/>
          <w:highlight w:val="none"/>
        </w:rPr>
      </w:pPr>
      <w:r>
        <w:rPr>
          <w:rFonts w:hint="eastAsia" w:ascii="宋体" w:hAnsi="宋体" w:eastAsia="宋体" w:cs="宋体"/>
          <w:color w:val="auto"/>
          <w:kern w:val="0"/>
          <w:szCs w:val="21"/>
          <w:highlight w:val="none"/>
          <w:lang w:val="en-US" w:eastAsia="zh-CN" w:bidi="ar"/>
        </w:rPr>
        <w:t>1.</w:t>
      </w:r>
      <w:r>
        <w:rPr>
          <w:rFonts w:ascii="宋体" w:hAnsi="宋体" w:eastAsia="宋体" w:cs="宋体"/>
          <w:color w:val="auto"/>
          <w:kern w:val="0"/>
          <w:szCs w:val="21"/>
          <w:highlight w:val="none"/>
          <w:lang w:bidi="ar"/>
        </w:rPr>
        <w:t>实施要求：施工全过程服从车站运营管理规定，错峰施工、安全施工，做好现场防护，保护原有设施设备，施工完毕及时清理现场，不影响车站正常运营。</w:t>
      </w:r>
    </w:p>
    <w:p w14:paraId="32B0E798">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2.</w:t>
      </w:r>
      <w:r>
        <w:rPr>
          <w:rFonts w:ascii="宋体" w:hAnsi="宋体" w:eastAsia="宋体" w:cs="宋体"/>
          <w:color w:val="auto"/>
          <w:kern w:val="0"/>
          <w:szCs w:val="21"/>
          <w:highlight w:val="none"/>
          <w:lang w:bidi="ar"/>
        </w:rPr>
        <w:t>验收标准：严格按照投标方案、材质规格、设计图纸、国家公共建筑及轨道交通相关规范验收，文化效果、材质质量、施工工艺、安全性能全部达标方可通过验收。</w:t>
      </w:r>
    </w:p>
    <w:p w14:paraId="47B17248">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3.</w:t>
      </w:r>
      <w:r>
        <w:rPr>
          <w:rFonts w:ascii="宋体" w:hAnsi="宋体" w:eastAsia="宋体" w:cs="宋体"/>
          <w:color w:val="auto"/>
          <w:kern w:val="0"/>
          <w:szCs w:val="21"/>
          <w:highlight w:val="none"/>
          <w:lang w:bidi="ar"/>
        </w:rPr>
        <w:t>质保要求：项目整体质保期不少于2年</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自项目竣工验收合格之日起算）</w:t>
      </w:r>
      <w:r>
        <w:rPr>
          <w:rFonts w:ascii="宋体" w:hAnsi="宋体" w:eastAsia="宋体" w:cs="宋体"/>
          <w:color w:val="auto"/>
          <w:kern w:val="0"/>
          <w:szCs w:val="21"/>
          <w:highlight w:val="none"/>
          <w:lang w:bidi="ar"/>
        </w:rPr>
        <w:t>，质保期内出现褪色、变形、损坏、脱落、灯光故障等问题，</w:t>
      </w:r>
      <w:r>
        <w:rPr>
          <w:rFonts w:hint="eastAsia" w:ascii="宋体" w:hAnsi="宋体" w:eastAsia="宋体" w:cs="宋体"/>
          <w:color w:val="auto"/>
          <w:kern w:val="0"/>
          <w:szCs w:val="21"/>
          <w:highlight w:val="none"/>
          <w:lang w:val="en-US" w:eastAsia="zh-CN" w:bidi="ar"/>
        </w:rPr>
        <w:t>中标人</w:t>
      </w:r>
      <w:r>
        <w:rPr>
          <w:rFonts w:ascii="宋体" w:hAnsi="宋体" w:eastAsia="宋体" w:cs="宋体"/>
          <w:color w:val="auto"/>
          <w:kern w:val="0"/>
          <w:szCs w:val="21"/>
          <w:highlight w:val="none"/>
          <w:lang w:bidi="ar"/>
        </w:rPr>
        <w:t>须24小时响应，无偿维修、更换。</w:t>
      </w:r>
    </w:p>
    <w:p w14:paraId="696FDB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四、其他说明</w:t>
      </w:r>
    </w:p>
    <w:p w14:paraId="615853F4">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本项目核心评审要点：点线面整体规划逻辑、滁州本土人文特色融合创意、主题表达、软性润物无声的叙事设计、分站点差异化创意、设计施工落地可行性、一体化总价造价合理性、施工方案完善性。</w:t>
      </w:r>
    </w:p>
    <w:p w14:paraId="6E2901BD">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招标人统一组织现场踏勘，踏勘集合时间、地点详见投标人须知前附表；投标人须自行安排交通、人员，所有踏勘产生的交通、食宿、安全等全部费用由投标人自行承担。踏勘期间投标人须遵守现场安全管理规定，佩戴安全防护用品，服从现场管理人员指挥，严禁擅自进入危险区域、私自触碰设备管线；踏勘途中发生人身伤害、财产损失，全部由投标人自行负责。</w:t>
      </w:r>
    </w:p>
    <w:p w14:paraId="6463778B">
      <w:pPr>
        <w:widowControl/>
        <w:numPr>
          <w:ilvl w:val="0"/>
          <w:numId w:val="2"/>
        </w:numPr>
        <w:spacing w:line="480" w:lineRule="exact"/>
        <w:ind w:left="0" w:firstLine="420" w:firstLineChars="200"/>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val="en-US" w:eastAsia="zh-CN"/>
        </w:rPr>
        <w:t>投标人递交投标文件，即视为已完全熟知项目现场全部现状、潜在风险，后续不得以现场情况不清、踏勘信息不全为由，提出调整报价、延长工期、增加费用等诉求。未参加统一现场踏勘的投标人，不丧失投标资格；未踏勘造成对现场情况判断失误、报价漏项、方案不合理等一切后果，均由投标人自行承担，招标人不承担任何补偿、免责责任。</w:t>
      </w:r>
    </w:p>
    <w:p w14:paraId="320A6D7D">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招标人</w:t>
      </w:r>
      <w:r>
        <w:rPr>
          <w:rFonts w:ascii="宋体" w:hAnsi="宋体" w:eastAsia="宋体" w:cs="Times New Roman"/>
          <w:color w:val="auto"/>
          <w:szCs w:val="21"/>
          <w:highlight w:val="none"/>
        </w:rPr>
        <w:t>拥有方案最终审核与调整权限，中标后</w:t>
      </w:r>
      <w:r>
        <w:rPr>
          <w:rFonts w:hint="eastAsia" w:ascii="宋体" w:hAnsi="宋体" w:eastAsia="宋体" w:cs="Times New Roman"/>
          <w:color w:val="auto"/>
          <w:szCs w:val="21"/>
          <w:highlight w:val="none"/>
          <w:lang w:val="en-US" w:eastAsia="zh-CN"/>
        </w:rPr>
        <w:t>中标人</w:t>
      </w:r>
      <w:r>
        <w:rPr>
          <w:rFonts w:ascii="宋体" w:hAnsi="宋体" w:eastAsia="宋体" w:cs="Times New Roman"/>
          <w:color w:val="auto"/>
          <w:szCs w:val="21"/>
          <w:highlight w:val="none"/>
        </w:rPr>
        <w:t>需根据评审意见无偿优化整体规划、单站创意、材质选型、叙事表达等全部设计内容，直至满足验收标准。</w:t>
      </w:r>
    </w:p>
    <w:p w14:paraId="1CFF9C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五、报价要求</w:t>
      </w:r>
    </w:p>
    <w:p w14:paraId="18B9B633">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报价为设计施工一体化全包总价，包含</w:t>
      </w:r>
      <w:r>
        <w:rPr>
          <w:rFonts w:hint="eastAsia" w:ascii="宋体" w:hAnsi="宋体" w:eastAsia="宋体" w:cs="Times New Roman"/>
          <w:color w:val="auto"/>
          <w:szCs w:val="21"/>
          <w:highlight w:val="none"/>
        </w:rPr>
        <w:t>五个站点及一列列车全域统筹规划、分站点创意设计、全套效果图、施工图纸、材质工艺设计、现场踏勘、多轮方案汇报修改、材料采购加工、运输、现场无损安装、错峰施工防护、成品保护、竣工清场、技术交底、竣工验收配合、2年质保维修、后期整改优化、人工、机械、辅材、垃圾清运、全套检测资料等全部费用，总价包干，无任何隐形增项、后期加价。</w:t>
      </w:r>
    </w:p>
    <w:p w14:paraId="793A6EFE">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投标文件须提供完整五站配套材质清单、规格参数、落地工艺说明、创意效果图、站点尺寸详图、施工组织方案，全部设计及施工内容作为合同履约、成果验收核心依据。</w:t>
      </w:r>
    </w:p>
    <w:p w14:paraId="03686959">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全套创意设计、材料选型、施工工艺完全满足轨道交通站点长期耐久、安全运维要求；若后期施工验收、质保运营阶段出现材质缺陷、工艺不达标、装置损坏脱落等问题，</w:t>
      </w:r>
      <w:r>
        <w:rPr>
          <w:rFonts w:hint="eastAsia" w:ascii="宋体" w:hAnsi="宋体" w:eastAsia="宋体" w:cs="Times New Roman"/>
          <w:color w:val="auto"/>
          <w:szCs w:val="21"/>
          <w:highlight w:val="none"/>
          <w:lang w:val="en-US" w:eastAsia="zh-CN"/>
        </w:rPr>
        <w:t>中标人</w:t>
      </w:r>
      <w:r>
        <w:rPr>
          <w:rFonts w:hint="eastAsia" w:ascii="宋体" w:hAnsi="宋体" w:eastAsia="宋体" w:cs="Times New Roman"/>
          <w:color w:val="auto"/>
          <w:szCs w:val="21"/>
          <w:highlight w:val="none"/>
        </w:rPr>
        <w:t>须无偿重新优化全套设计方案，并承担全部拆除、重做、材料、人工、工期损失等全部整改责任与费用。</w:t>
      </w:r>
    </w:p>
    <w:p w14:paraId="75675B85">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ascii="宋体" w:hAnsi="宋体" w:eastAsia="宋体" w:cs="Times New Roman"/>
          <w:color w:val="auto"/>
          <w:szCs w:val="21"/>
          <w:highlight w:val="none"/>
        </w:rPr>
        <w:t>投标人须在投标文件中明确完整实施总工期，细分方案设计周期、整体施工周期，明确项目完工交付时间，满足</w:t>
      </w:r>
      <w:r>
        <w:rPr>
          <w:rFonts w:hint="eastAsia" w:ascii="宋体" w:hAnsi="宋体" w:eastAsia="宋体" w:cs="Times New Roman"/>
          <w:color w:val="auto"/>
          <w:szCs w:val="21"/>
          <w:highlight w:val="none"/>
          <w:lang w:val="en-US" w:eastAsia="zh-CN"/>
        </w:rPr>
        <w:t>招标人</w:t>
      </w:r>
      <w:r>
        <w:rPr>
          <w:rFonts w:ascii="宋体" w:hAnsi="宋体" w:eastAsia="宋体" w:cs="Times New Roman"/>
          <w:color w:val="auto"/>
          <w:szCs w:val="21"/>
          <w:highlight w:val="none"/>
        </w:rPr>
        <w:t>廉政教育阵地启用时间节点要求。</w:t>
      </w:r>
    </w:p>
    <w:p w14:paraId="27C5ACC4">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考虑本次投标单位在投标过程中投标成本较高，经招标人研究决定，中标人因承担了本项目设计业务，不予补偿，未中标的中标候选人分别给予方案补偿（其中第二中标候选人给予人民币2000元的方案补偿；第三中标候选人给予人民币1000元的方案补偿；此费用中标人在中标通知书发出之日起10日内支付，含在投标报价中），上述费用应含在投标报价中，投标人在投标报价让利中考虑上述费用。</w:t>
      </w:r>
    </w:p>
    <w:p w14:paraId="48288666">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未中标的中标候选人的设计成果文件归招标人所有。其他投标人不进行任何设计补偿和奖励。</w:t>
      </w:r>
    </w:p>
    <w:p w14:paraId="55A19700">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86CF0B">
      <w:pPr>
        <w:spacing w:line="360" w:lineRule="auto"/>
        <w:jc w:val="center"/>
        <w:rPr>
          <w:rFonts w:hint="eastAsia" w:ascii="Times New Roman" w:hAnsi="Times New Roman" w:eastAsia="微软雅黑" w:cs="Times New Roman"/>
          <w:b/>
          <w:bCs/>
          <w:color w:val="auto"/>
          <w:sz w:val="44"/>
          <w:szCs w:val="44"/>
          <w:highlight w:val="none"/>
          <w:lang w:eastAsia="zh-CN"/>
        </w:rPr>
      </w:pPr>
    </w:p>
    <w:p w14:paraId="00B887B0">
      <w:pPr>
        <w:spacing w:line="360" w:lineRule="auto"/>
        <w:jc w:val="center"/>
        <w:rPr>
          <w:rFonts w:ascii="Times New Roman" w:hAnsi="Times New Roman" w:eastAsia="微软雅黑" w:cs="Times New Roman"/>
          <w:b/>
          <w:bCs/>
          <w:color w:val="auto"/>
          <w:sz w:val="44"/>
          <w:szCs w:val="44"/>
          <w:highlight w:val="none"/>
        </w:rPr>
      </w:pPr>
      <w:r>
        <w:rPr>
          <w:rFonts w:hint="eastAsia" w:eastAsia="微软雅黑" w:cs="Times New Roman"/>
          <w:b/>
          <w:bCs/>
          <w:color w:val="auto"/>
          <w:sz w:val="44"/>
          <w:szCs w:val="44"/>
          <w:highlight w:val="none"/>
          <w:lang w:eastAsia="zh-CN"/>
        </w:rPr>
        <w:t>滁州至南京城际铁路（滁州段）多站点廉洁主题设计施工一体化项目</w:t>
      </w:r>
      <w:r>
        <w:rPr>
          <w:rFonts w:ascii="Times New Roman" w:hAnsi="Times New Roman" w:eastAsia="微软雅黑" w:cs="Times New Roman"/>
          <w:b/>
          <w:bCs/>
          <w:color w:val="auto"/>
          <w:sz w:val="44"/>
          <w:szCs w:val="44"/>
          <w:highlight w:val="none"/>
        </w:rPr>
        <w:t>合同</w:t>
      </w:r>
    </w:p>
    <w:p w14:paraId="5608024F">
      <w:pPr>
        <w:spacing w:line="360" w:lineRule="auto"/>
        <w:rPr>
          <w:rFonts w:ascii="Times New Roman" w:hAnsi="Times New Roman"/>
          <w:color w:val="auto"/>
          <w:sz w:val="32"/>
          <w:szCs w:val="32"/>
          <w:highlight w:val="none"/>
        </w:rPr>
      </w:pPr>
    </w:p>
    <w:p w14:paraId="5CECB9EC">
      <w:pPr>
        <w:spacing w:line="360" w:lineRule="auto"/>
        <w:rPr>
          <w:rFonts w:hint="eastAsia" w:ascii="宋体" w:hAnsi="宋体" w:eastAsia="宋体" w:cs="宋体"/>
          <w:color w:val="auto"/>
          <w:sz w:val="21"/>
          <w:szCs w:val="21"/>
          <w:highlight w:val="none"/>
        </w:rPr>
      </w:pPr>
    </w:p>
    <w:p w14:paraId="0A312FF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合同编号：</w:t>
      </w:r>
    </w:p>
    <w:p w14:paraId="2EE8AB6F">
      <w:pPr>
        <w:spacing w:line="360" w:lineRule="auto"/>
        <w:jc w:val="center"/>
        <w:rPr>
          <w:rFonts w:hint="eastAsia" w:ascii="宋体" w:hAnsi="宋体" w:eastAsia="宋体" w:cs="宋体"/>
          <w:b/>
          <w:bCs/>
          <w:color w:val="auto"/>
          <w:sz w:val="21"/>
          <w:szCs w:val="21"/>
          <w:highlight w:val="none"/>
        </w:rPr>
      </w:pPr>
    </w:p>
    <w:p w14:paraId="53C636B6">
      <w:pPr>
        <w:rPr>
          <w:rFonts w:hint="eastAsia" w:ascii="宋体" w:hAnsi="宋体" w:eastAsia="宋体" w:cs="宋体"/>
          <w:color w:val="auto"/>
          <w:sz w:val="21"/>
          <w:szCs w:val="21"/>
          <w:highlight w:val="none"/>
        </w:rPr>
      </w:pPr>
    </w:p>
    <w:p w14:paraId="188BD0FD">
      <w:pPr>
        <w:rPr>
          <w:rFonts w:hint="eastAsia" w:ascii="宋体" w:hAnsi="宋体" w:eastAsia="宋体" w:cs="宋体"/>
          <w:color w:val="auto"/>
          <w:sz w:val="21"/>
          <w:szCs w:val="21"/>
          <w:highlight w:val="none"/>
        </w:rPr>
      </w:pPr>
    </w:p>
    <w:p w14:paraId="1B88EA96">
      <w:pPr>
        <w:rPr>
          <w:rFonts w:hint="eastAsia" w:ascii="宋体" w:hAnsi="宋体" w:eastAsia="宋体" w:cs="宋体"/>
          <w:color w:val="auto"/>
          <w:sz w:val="21"/>
          <w:szCs w:val="21"/>
          <w:highlight w:val="none"/>
        </w:rPr>
      </w:pPr>
    </w:p>
    <w:p w14:paraId="3F5368E1">
      <w:pPr>
        <w:pStyle w:val="5"/>
        <w:rPr>
          <w:rFonts w:hint="eastAsia" w:ascii="宋体" w:hAnsi="宋体" w:eastAsia="宋体" w:cs="宋体"/>
          <w:color w:val="auto"/>
          <w:sz w:val="21"/>
          <w:szCs w:val="21"/>
          <w:highlight w:val="none"/>
        </w:rPr>
      </w:pPr>
    </w:p>
    <w:p w14:paraId="1B6934B1">
      <w:pPr>
        <w:rPr>
          <w:rFonts w:hint="eastAsia" w:ascii="宋体" w:hAnsi="宋体" w:eastAsia="宋体" w:cs="宋体"/>
          <w:color w:val="auto"/>
          <w:sz w:val="21"/>
          <w:szCs w:val="21"/>
          <w:highlight w:val="none"/>
        </w:rPr>
      </w:pPr>
    </w:p>
    <w:p w14:paraId="58CAA80B">
      <w:pPr>
        <w:pStyle w:val="5"/>
        <w:rPr>
          <w:rFonts w:hint="eastAsia" w:ascii="宋体" w:hAnsi="宋体" w:eastAsia="宋体" w:cs="宋体"/>
          <w:color w:val="auto"/>
          <w:sz w:val="21"/>
          <w:szCs w:val="21"/>
          <w:highlight w:val="none"/>
        </w:rPr>
      </w:pPr>
    </w:p>
    <w:p w14:paraId="00F36ACC">
      <w:pPr>
        <w:rPr>
          <w:rFonts w:hint="eastAsia" w:ascii="宋体" w:hAnsi="宋体" w:eastAsia="宋体" w:cs="宋体"/>
          <w:color w:val="auto"/>
          <w:sz w:val="21"/>
          <w:szCs w:val="21"/>
          <w:highlight w:val="none"/>
        </w:rPr>
      </w:pPr>
    </w:p>
    <w:p w14:paraId="48C80488">
      <w:pPr>
        <w:rPr>
          <w:rFonts w:hint="eastAsia" w:ascii="宋体" w:hAnsi="宋体" w:eastAsia="宋体" w:cs="宋体"/>
          <w:color w:val="auto"/>
          <w:sz w:val="21"/>
          <w:szCs w:val="21"/>
          <w:highlight w:val="none"/>
        </w:rPr>
      </w:pPr>
    </w:p>
    <w:p w14:paraId="02FBAB6D">
      <w:pPr>
        <w:rPr>
          <w:rFonts w:hint="eastAsia" w:ascii="宋体" w:hAnsi="宋体" w:eastAsia="宋体" w:cs="宋体"/>
          <w:color w:val="auto"/>
          <w:sz w:val="21"/>
          <w:szCs w:val="21"/>
          <w:highlight w:val="none"/>
        </w:rPr>
      </w:pPr>
    </w:p>
    <w:p w14:paraId="186A2F9F">
      <w:pPr>
        <w:rPr>
          <w:rFonts w:hint="eastAsia" w:ascii="宋体" w:hAnsi="宋体" w:eastAsia="宋体" w:cs="宋体"/>
          <w:color w:val="auto"/>
          <w:sz w:val="21"/>
          <w:szCs w:val="21"/>
          <w:highlight w:val="none"/>
        </w:rPr>
      </w:pPr>
    </w:p>
    <w:p w14:paraId="11308ED5">
      <w:pPr>
        <w:rPr>
          <w:rFonts w:hint="eastAsia" w:ascii="宋体" w:hAnsi="宋体" w:eastAsia="宋体" w:cs="宋体"/>
          <w:color w:val="auto"/>
          <w:sz w:val="21"/>
          <w:szCs w:val="21"/>
          <w:highlight w:val="none"/>
        </w:rPr>
      </w:pPr>
    </w:p>
    <w:p w14:paraId="45DAB94D">
      <w:pPr>
        <w:rPr>
          <w:rFonts w:hint="eastAsia" w:ascii="宋体" w:hAnsi="宋体" w:eastAsia="宋体" w:cs="宋体"/>
          <w:color w:val="auto"/>
          <w:sz w:val="21"/>
          <w:szCs w:val="21"/>
          <w:highlight w:val="none"/>
        </w:rPr>
      </w:pPr>
    </w:p>
    <w:p w14:paraId="5725CD8C">
      <w:pPr>
        <w:rPr>
          <w:rFonts w:hint="eastAsia" w:ascii="宋体" w:hAnsi="宋体" w:eastAsia="宋体" w:cs="宋体"/>
          <w:color w:val="auto"/>
          <w:sz w:val="21"/>
          <w:szCs w:val="21"/>
          <w:highlight w:val="none"/>
        </w:rPr>
      </w:pPr>
    </w:p>
    <w:p w14:paraId="7BED9A09">
      <w:pPr>
        <w:pStyle w:val="5"/>
        <w:rPr>
          <w:rFonts w:hint="eastAsia"/>
          <w:color w:val="auto"/>
          <w:highlight w:val="none"/>
        </w:rPr>
      </w:pPr>
    </w:p>
    <w:p w14:paraId="091E82D9">
      <w:pPr>
        <w:rPr>
          <w:rFonts w:hint="eastAsia" w:ascii="宋体" w:hAnsi="宋体" w:eastAsia="宋体" w:cs="宋体"/>
          <w:color w:val="auto"/>
          <w:sz w:val="21"/>
          <w:szCs w:val="21"/>
          <w:highlight w:val="none"/>
        </w:rPr>
      </w:pPr>
    </w:p>
    <w:p w14:paraId="505E3589">
      <w:pPr>
        <w:rPr>
          <w:rFonts w:hint="eastAsia" w:ascii="宋体" w:hAnsi="宋体" w:eastAsia="宋体" w:cs="宋体"/>
          <w:color w:val="auto"/>
          <w:sz w:val="21"/>
          <w:szCs w:val="21"/>
          <w:highlight w:val="none"/>
        </w:rPr>
      </w:pPr>
    </w:p>
    <w:p w14:paraId="716DC9A8">
      <w:pPr>
        <w:rPr>
          <w:rFonts w:hint="eastAsia" w:ascii="宋体" w:hAnsi="宋体" w:eastAsia="宋体" w:cs="宋体"/>
          <w:color w:val="auto"/>
          <w:sz w:val="21"/>
          <w:szCs w:val="21"/>
          <w:highlight w:val="none"/>
        </w:rPr>
      </w:pPr>
    </w:p>
    <w:p w14:paraId="1E5B900F">
      <w:pPr>
        <w:ind w:firstLine="630" w:firstLineChars="3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p>
    <w:p w14:paraId="241AFB5A">
      <w:pPr>
        <w:jc w:val="center"/>
        <w:rPr>
          <w:rFonts w:hint="eastAsia" w:ascii="宋体" w:hAnsi="宋体" w:eastAsia="宋体" w:cs="宋体"/>
          <w:color w:val="auto"/>
          <w:sz w:val="21"/>
          <w:szCs w:val="21"/>
          <w:highlight w:val="none"/>
        </w:rPr>
      </w:pPr>
    </w:p>
    <w:p w14:paraId="03288366">
      <w:pPr>
        <w:ind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p>
    <w:p w14:paraId="748D1A00">
      <w:pPr>
        <w:rPr>
          <w:rFonts w:hint="eastAsia" w:ascii="宋体" w:hAnsi="宋体" w:eastAsia="宋体" w:cs="宋体"/>
          <w:color w:val="auto"/>
          <w:sz w:val="21"/>
          <w:szCs w:val="21"/>
          <w:highlight w:val="none"/>
        </w:rPr>
      </w:pPr>
    </w:p>
    <w:p w14:paraId="6F34CC7F">
      <w:pPr>
        <w:ind w:firstLine="630" w:firstLineChars="3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签订时间：</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   月</w:t>
      </w:r>
      <w:r>
        <w:rPr>
          <w:rFonts w:hint="eastAsia" w:ascii="宋体" w:hAnsi="宋体" w:eastAsia="宋体" w:cs="宋体"/>
          <w:color w:val="auto"/>
          <w:sz w:val="21"/>
          <w:szCs w:val="21"/>
          <w:highlight w:val="none"/>
          <w:lang w:val="en-US" w:eastAsia="zh-CN"/>
        </w:rPr>
        <w:t xml:space="preserve">   日</w:t>
      </w:r>
    </w:p>
    <w:p w14:paraId="1752A8E7">
      <w:pPr>
        <w:jc w:val="center"/>
        <w:rPr>
          <w:rFonts w:hint="eastAsia" w:ascii="宋体" w:hAnsi="宋体" w:eastAsia="宋体" w:cs="宋体"/>
          <w:color w:val="auto"/>
          <w:sz w:val="21"/>
          <w:szCs w:val="21"/>
          <w:highlight w:val="none"/>
        </w:rPr>
      </w:pPr>
    </w:p>
    <w:p w14:paraId="0FFB63B9">
      <w:pPr>
        <w:rPr>
          <w:rStyle w:val="215"/>
          <w:rFonts w:hint="eastAsia" w:ascii="宋体" w:hAnsi="宋体" w:eastAsia="宋体" w:cs="宋体"/>
          <w:color w:val="auto"/>
          <w:sz w:val="21"/>
          <w:szCs w:val="21"/>
          <w:highlight w:val="none"/>
        </w:rPr>
      </w:pPr>
      <w:r>
        <w:rPr>
          <w:rStyle w:val="215"/>
          <w:rFonts w:hint="eastAsia" w:ascii="宋体" w:hAnsi="宋体" w:eastAsia="宋体" w:cs="宋体"/>
          <w:color w:val="auto"/>
          <w:sz w:val="21"/>
          <w:szCs w:val="21"/>
          <w:highlight w:val="none"/>
        </w:rPr>
        <w:br w:type="page"/>
      </w:r>
    </w:p>
    <w:p w14:paraId="0624D0EF">
      <w:pPr>
        <w:spacing w:line="360" w:lineRule="auto"/>
        <w:rPr>
          <w:rFonts w:hint="eastAsia" w:ascii="宋体" w:hAnsi="宋体" w:eastAsia="宋体" w:cs="宋体"/>
          <w:b/>
          <w:color w:val="auto"/>
          <w:sz w:val="21"/>
          <w:szCs w:val="21"/>
          <w:highlight w:val="none"/>
          <w:u w:val="single"/>
          <w:lang w:eastAsia="zh-CN"/>
        </w:rPr>
      </w:pPr>
      <w:r>
        <w:rPr>
          <w:rStyle w:val="215"/>
          <w:rFonts w:hint="eastAsia" w:ascii="宋体" w:hAnsi="宋体" w:eastAsia="宋体" w:cs="宋体"/>
          <w:color w:val="auto"/>
          <w:sz w:val="21"/>
          <w:szCs w:val="21"/>
          <w:highlight w:val="none"/>
        </w:rPr>
        <w:t>甲方（全称）</w:t>
      </w:r>
      <w:r>
        <w:rPr>
          <w:rStyle w:val="215"/>
          <w:rFonts w:hint="eastAsia" w:ascii="宋体" w:hAnsi="宋体" w:eastAsia="宋体" w:cs="宋体"/>
          <w:color w:val="auto"/>
          <w:sz w:val="21"/>
          <w:szCs w:val="21"/>
          <w:highlight w:val="none"/>
          <w:lang w:eastAsia="zh-CN"/>
        </w:rPr>
        <w:t>：</w:t>
      </w:r>
      <w:r>
        <w:rPr>
          <w:rFonts w:hint="eastAsia" w:ascii="宋体" w:hAnsi="宋体" w:eastAsia="宋体" w:cs="宋体"/>
          <w:b/>
          <w:color w:val="auto"/>
          <w:sz w:val="21"/>
          <w:szCs w:val="21"/>
          <w:highlight w:val="none"/>
          <w:u w:val="single"/>
          <w:lang w:eastAsia="zh-CN"/>
        </w:rPr>
        <w:t>滁州市滁宁城际铁路开发建设有限公司</w:t>
      </w:r>
    </w:p>
    <w:p w14:paraId="081DB18F">
      <w:pPr>
        <w:spacing w:line="360" w:lineRule="auto"/>
        <w:rPr>
          <w:rFonts w:hint="eastAsia" w:ascii="宋体" w:hAnsi="宋体" w:eastAsia="宋体" w:cs="宋体"/>
          <w:b/>
          <w:color w:val="auto"/>
          <w:sz w:val="21"/>
          <w:szCs w:val="21"/>
          <w:highlight w:val="none"/>
          <w:u w:val="single"/>
        </w:rPr>
      </w:pPr>
      <w:r>
        <w:rPr>
          <w:rStyle w:val="215"/>
          <w:rFonts w:hint="eastAsia" w:ascii="宋体" w:hAnsi="宋体" w:eastAsia="宋体" w:cs="宋体"/>
          <w:color w:val="auto"/>
          <w:sz w:val="21"/>
          <w:szCs w:val="21"/>
          <w:highlight w:val="none"/>
        </w:rPr>
        <w:t>乙方（全称）：</w:t>
      </w:r>
    </w:p>
    <w:p w14:paraId="7C4E167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滁州市滁宁城际铁路开发建设有限公司</w:t>
      </w:r>
      <w:r>
        <w:rPr>
          <w:rFonts w:hint="eastAsia" w:ascii="宋体" w:hAnsi="宋体" w:eastAsia="宋体" w:cs="宋体"/>
          <w:color w:val="auto"/>
          <w:sz w:val="21"/>
          <w:szCs w:val="21"/>
          <w:highlight w:val="none"/>
        </w:rPr>
        <w:t>（以下简称“甲方”）______</w:t>
      </w:r>
      <w:r>
        <w:rPr>
          <w:rFonts w:hint="eastAsia" w:ascii="宋体" w:hAnsi="宋体" w:eastAsia="宋体" w:cs="宋体"/>
          <w:bCs/>
          <w:color w:val="auto"/>
          <w:sz w:val="21"/>
          <w:szCs w:val="21"/>
          <w:highlight w:val="none"/>
        </w:rPr>
        <w:t>（以</w:t>
      </w:r>
      <w:r>
        <w:rPr>
          <w:rFonts w:hint="eastAsia" w:ascii="宋体" w:hAnsi="宋体" w:eastAsia="宋体" w:cs="宋体"/>
          <w:color w:val="auto"/>
          <w:sz w:val="21"/>
          <w:szCs w:val="21"/>
          <w:highlight w:val="none"/>
        </w:rPr>
        <w:t>下简称“乙方”）就</w:t>
      </w:r>
      <w:r>
        <w:rPr>
          <w:rFonts w:hint="eastAsia" w:ascii="宋体" w:hAnsi="宋体" w:cs="宋体"/>
          <w:color w:val="auto"/>
          <w:sz w:val="21"/>
          <w:szCs w:val="21"/>
          <w:highlight w:val="none"/>
          <w:lang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事宜，依照《中华人民共和国</w:t>
      </w:r>
      <w:r>
        <w:rPr>
          <w:rFonts w:hint="eastAsia" w:ascii="宋体" w:hAnsi="宋体" w:eastAsia="宋体" w:cs="宋体"/>
          <w:color w:val="auto"/>
          <w:sz w:val="21"/>
          <w:szCs w:val="21"/>
          <w:highlight w:val="none"/>
          <w:lang w:val="en-US" w:eastAsia="zh-CN"/>
        </w:rPr>
        <w:t>民法典</w:t>
      </w:r>
      <w:r>
        <w:rPr>
          <w:rFonts w:hint="eastAsia" w:ascii="宋体" w:hAnsi="宋体" w:eastAsia="宋体" w:cs="宋体"/>
          <w:color w:val="auto"/>
          <w:sz w:val="21"/>
          <w:szCs w:val="21"/>
          <w:highlight w:val="none"/>
        </w:rPr>
        <w:t>》及其他有关法律、行政法规，遵循平等、自愿、公平和诚实信用的原则，双方共同达成并订立如下协议。</w:t>
      </w:r>
    </w:p>
    <w:p w14:paraId="6AEF373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b/>
          <w:bCs/>
          <w:color w:val="auto"/>
          <w:sz w:val="21"/>
          <w:szCs w:val="21"/>
          <w:highlight w:val="none"/>
        </w:rPr>
        <w:t>释义</w:t>
      </w:r>
    </w:p>
    <w:p w14:paraId="05867CA0">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1、合同</w:t>
      </w:r>
      <w:r>
        <w:rPr>
          <w:rFonts w:hint="eastAsia" w:ascii="宋体" w:hAnsi="宋体" w:eastAsia="宋体" w:cs="宋体"/>
          <w:color w:val="auto"/>
          <w:sz w:val="21"/>
          <w:szCs w:val="21"/>
          <w:highlight w:val="none"/>
          <w:lang w:val="en-US" w:eastAsia="zh-CN"/>
        </w:rPr>
        <w:t>标的</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w:t>
      </w:r>
    </w:p>
    <w:p w14:paraId="03534269">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、履约保证金：为保证乙方履行本合同约定之各项义务和责任，在签订本合同后，由乙方向甲方提供履约保证金（可采用现金、支票、银行履约保函（见索即付保函）、</w:t>
      </w:r>
      <w:r>
        <w:rPr>
          <w:rFonts w:hint="eastAsia" w:ascii="宋体" w:hAnsi="宋体" w:eastAsia="宋体" w:cs="宋体"/>
          <w:color w:val="auto"/>
          <w:sz w:val="21"/>
          <w:szCs w:val="21"/>
          <w:highlight w:val="none"/>
          <w:lang w:val="en-US" w:eastAsia="zh-CN"/>
        </w:rPr>
        <w:t>担保</w:t>
      </w:r>
      <w:r>
        <w:rPr>
          <w:rFonts w:hint="eastAsia" w:ascii="宋体" w:hAnsi="宋体" w:eastAsia="宋体" w:cs="宋体"/>
          <w:color w:val="auto"/>
          <w:sz w:val="21"/>
          <w:szCs w:val="21"/>
          <w:highlight w:val="none"/>
          <w:lang w:eastAsia="zh-CN"/>
        </w:rPr>
        <w:t>等形式）。合同期内乙方无违约行为，甲方将全额无息退还给乙方。</w:t>
      </w:r>
    </w:p>
    <w:p w14:paraId="7BC2BA53">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税费：包括任何管辖区域过去、现在或将来的任何性质的税费、扣除或预扣以及与之有关的任何利息或罚金，而且，为避免产生疑义，其中包括但不限于中国境内所应缴纳的印花税、企业所得税、增值税等全部税费。</w:t>
      </w:r>
    </w:p>
    <w:p w14:paraId="0A03F58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、附件和补充协议：本合同的所有附件以及相关的补充协议都为本合同的有效组成部分，与本合同具有同等法律效力。</w:t>
      </w:r>
    </w:p>
    <w:p w14:paraId="182C04FA">
      <w:pPr>
        <w:rPr>
          <w:rFonts w:hint="default"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rPr>
        <w:t>二、合同标的、</w:t>
      </w:r>
      <w:r>
        <w:rPr>
          <w:rFonts w:hint="eastAsia" w:ascii="宋体" w:hAnsi="宋体" w:eastAsia="宋体" w:cs="宋体"/>
          <w:b/>
          <w:bCs/>
          <w:color w:val="auto"/>
          <w:sz w:val="21"/>
          <w:szCs w:val="21"/>
          <w:highlight w:val="none"/>
          <w:lang w:val="en-US" w:eastAsia="zh-CN"/>
        </w:rPr>
        <w:t>招标</w:t>
      </w:r>
      <w:r>
        <w:rPr>
          <w:rFonts w:hint="eastAsia" w:ascii="宋体" w:hAnsi="宋体" w:eastAsia="宋体" w:cs="宋体"/>
          <w:b/>
          <w:bCs/>
          <w:color w:val="auto"/>
          <w:sz w:val="21"/>
          <w:szCs w:val="21"/>
          <w:highlight w:val="none"/>
        </w:rPr>
        <w:t>范围、</w:t>
      </w:r>
      <w:r>
        <w:rPr>
          <w:rFonts w:hint="eastAsia" w:ascii="宋体" w:hAnsi="宋体" w:eastAsia="宋体" w:cs="宋体"/>
          <w:b/>
          <w:bCs/>
          <w:color w:val="auto"/>
          <w:sz w:val="21"/>
          <w:szCs w:val="21"/>
          <w:highlight w:val="none"/>
          <w:lang w:val="en-US" w:eastAsia="zh-CN"/>
        </w:rPr>
        <w:t>服务期</w:t>
      </w:r>
    </w:p>
    <w:p w14:paraId="26DA4FFF">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1、合同标的：本合同标的为</w:t>
      </w:r>
      <w:r>
        <w:rPr>
          <w:rFonts w:hint="eastAsia" w:ascii="宋体" w:hAnsi="宋体" w:cs="宋体"/>
          <w:color w:val="auto"/>
          <w:sz w:val="21"/>
          <w:szCs w:val="21"/>
          <w:highlight w:val="none"/>
          <w:lang w:val="en-US"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w:t>
      </w:r>
    </w:p>
    <w:p w14:paraId="36C1C789">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2.招标范围：详见采购需求。</w:t>
      </w:r>
    </w:p>
    <w:p w14:paraId="277FEB5C">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3.验收标准：</w:t>
      </w:r>
      <w:r>
        <w:rPr>
          <w:rFonts w:hint="eastAsia" w:ascii="宋体" w:hAnsi="宋体" w:eastAsia="宋体" w:cs="宋体"/>
          <w:color w:val="auto"/>
          <w:sz w:val="21"/>
          <w:szCs w:val="21"/>
          <w:highlight w:val="none"/>
          <w:lang w:val="en-US"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0E445546">
      <w:pPr>
        <w:rPr>
          <w:rFonts w:hint="default"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eastAsia="zh-CN"/>
        </w:rPr>
        <w:t>三、计价方式、报酬及支付方式</w:t>
      </w:r>
    </w:p>
    <w:p w14:paraId="55610779">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 本项目合同计价方式：</w:t>
      </w:r>
      <w:r>
        <w:rPr>
          <w:rFonts w:hint="eastAsia" w:ascii="宋体" w:hAnsi="宋体" w:cs="宋体"/>
          <w:color w:val="auto"/>
          <w:sz w:val="21"/>
          <w:szCs w:val="21"/>
          <w:highlight w:val="none"/>
          <w:lang w:val="en-US" w:eastAsia="zh-CN"/>
        </w:rPr>
        <w:t>固定总价</w:t>
      </w:r>
      <w:r>
        <w:rPr>
          <w:rFonts w:hint="eastAsia" w:ascii="宋体" w:hAnsi="宋体" w:eastAsia="宋体" w:cs="宋体"/>
          <w:color w:val="auto"/>
          <w:sz w:val="21"/>
          <w:szCs w:val="21"/>
          <w:highlight w:val="none"/>
          <w:lang w:val="en-US" w:eastAsia="zh-CN"/>
        </w:rPr>
        <w:t>。</w:t>
      </w:r>
    </w:p>
    <w:p w14:paraId="3AD913A0">
      <w:pPr>
        <w:keepNext w:val="0"/>
        <w:keepLines w:val="0"/>
        <w:pageBreakBefore w:val="0"/>
        <w:widowControl w:val="0"/>
        <w:tabs>
          <w:tab w:val="left" w:pos="5720"/>
          <w:tab w:val="left" w:pos="8220"/>
        </w:tabs>
        <w:kinsoku/>
        <w:wordWrap/>
        <w:overflowPunct/>
        <w:topLinePunct w:val="0"/>
        <w:autoSpaceDE w:val="0"/>
        <w:autoSpaceDN w:val="0"/>
        <w:bidi w:val="0"/>
        <w:adjustRightInd w:val="0"/>
        <w:snapToGrid/>
        <w:spacing w:line="360" w:lineRule="auto"/>
        <w:ind w:right="-23"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5.2 </w:t>
      </w:r>
      <w:r>
        <w:rPr>
          <w:rFonts w:hint="eastAsia" w:ascii="宋体" w:hAnsi="宋体" w:cs="宋体"/>
          <w:kern w:val="0"/>
          <w:szCs w:val="21"/>
        </w:rPr>
        <w:t>本项目合同总价为</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u w:val="single"/>
        </w:rPr>
        <w:tab/>
      </w:r>
      <w:r>
        <w:rPr>
          <w:rFonts w:hint="eastAsia" w:ascii="宋体" w:hAnsi="宋体" w:cs="宋体"/>
          <w:kern w:val="0"/>
          <w:szCs w:val="21"/>
        </w:rPr>
        <w:t>元整）</w:t>
      </w:r>
      <w:r>
        <w:rPr>
          <w:rFonts w:hint="eastAsia" w:ascii="宋体" w:hAnsi="宋体" w:cs="宋体"/>
          <w:kern w:val="0"/>
          <w:szCs w:val="21"/>
          <w:lang w:eastAsia="zh-CN"/>
        </w:rPr>
        <w:t>。</w:t>
      </w:r>
      <w:r>
        <w:rPr>
          <w:rFonts w:hint="eastAsia" w:ascii="宋体" w:hAnsi="宋体" w:cs="宋体"/>
          <w:kern w:val="0"/>
          <w:szCs w:val="21"/>
        </w:rPr>
        <w:t>税率为</w:t>
      </w:r>
      <w:r>
        <w:rPr>
          <w:rFonts w:hint="eastAsia" w:ascii="宋体" w:hAnsi="宋体" w:cs="宋体"/>
          <w:kern w:val="0"/>
          <w:szCs w:val="21"/>
          <w:u w:val="single"/>
        </w:rPr>
        <w:t xml:space="preserve">   </w:t>
      </w:r>
      <w:r>
        <w:rPr>
          <w:rFonts w:hint="eastAsia" w:ascii="宋体" w:hAnsi="宋体" w:cs="宋体"/>
          <w:kern w:val="0"/>
          <w:szCs w:val="21"/>
        </w:rPr>
        <w:t>，税金为</w:t>
      </w:r>
      <w:r>
        <w:rPr>
          <w:rFonts w:hint="eastAsia" w:ascii="宋体" w:hAnsi="宋体" w:cs="宋体"/>
          <w:kern w:val="0"/>
          <w:szCs w:val="21"/>
          <w:u w:val="single"/>
        </w:rPr>
        <w:t xml:space="preserve"> </w:t>
      </w:r>
      <w:r>
        <w:rPr>
          <w:rFonts w:hint="eastAsia" w:ascii="宋体" w:hAnsi="宋体" w:cs="宋体"/>
          <w:kern w:val="0"/>
          <w:szCs w:val="21"/>
        </w:rPr>
        <w:t>元（大写：人民币</w:t>
      </w:r>
      <w:r>
        <w:rPr>
          <w:rFonts w:hint="eastAsia" w:ascii="宋体" w:hAnsi="宋体" w:cs="宋体"/>
          <w:kern w:val="0"/>
          <w:szCs w:val="21"/>
          <w:u w:val="single"/>
        </w:rPr>
        <w:t xml:space="preserve">  </w:t>
      </w:r>
      <w:r>
        <w:rPr>
          <w:rFonts w:hint="eastAsia" w:ascii="宋体" w:hAnsi="宋体" w:cs="宋体"/>
          <w:kern w:val="0"/>
          <w:szCs w:val="21"/>
        </w:rPr>
        <w:t>元整）。</w:t>
      </w:r>
    </w:p>
    <w:p w14:paraId="665DBEAC">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5.3支付方式：</w:t>
      </w:r>
    </w:p>
    <w:p w14:paraId="7A9E3EE9">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lang w:val="en-US" w:eastAsia="zh-CN"/>
        </w:rPr>
      </w:pPr>
      <w:r>
        <w:rPr>
          <w:rFonts w:hint="eastAsia" w:ascii="宋体" w:hAnsi="宋体" w:eastAsia="宋体" w:cs="宋体"/>
          <w:color w:val="auto"/>
          <w:sz w:val="21"/>
          <w:szCs w:val="21"/>
          <w:highlight w:val="none"/>
          <w:lang w:val="en-US" w:eastAsia="zh-CN"/>
        </w:rPr>
        <w:t>5.4合同价为不含税价格，过程支付以及结算时，乙方应按国家相关规定缴纳税金，税金按照实际纳入过程支付以及结算。</w:t>
      </w:r>
    </w:p>
    <w:p w14:paraId="446F54B4">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四、履约保证金</w:t>
      </w:r>
    </w:p>
    <w:p w14:paraId="39C7B9A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w:t>
      </w:r>
    </w:p>
    <w:p w14:paraId="552757F5">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w:t>
      </w:r>
    </w:p>
    <w:p w14:paraId="6158446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                 </w:t>
      </w:r>
    </w:p>
    <w:p w14:paraId="635DCB3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                   </w:t>
      </w:r>
    </w:p>
    <w:p w14:paraId="799744F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                  </w:t>
      </w:r>
    </w:p>
    <w:p w14:paraId="213AA07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缴纳时限：中标人须在中标通知书发出后30日内完成履约担保缴纳及合同签订，如未按期交齐履约保证金或未按期签订合同的，视同放弃中标资格。</w:t>
      </w:r>
    </w:p>
    <w:p w14:paraId="513E866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履约保证金退还时限：中标人在本合同约定的服务期限届满并经招标人验收合格后30日内办理履约保证金（或履约保函）退还手续。</w:t>
      </w:r>
    </w:p>
    <w:p w14:paraId="0FA5C11A">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、合同变更</w:t>
      </w:r>
    </w:p>
    <w:p w14:paraId="4591DB1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双方在履行本协议过程中，根据项目的需要，可协商一致对协议进行变更，并签署相关的变更协议。未经双方协商一致，协议任何一方均不得擅自变更本协议，单位名称的变化并不影响本协议约定任何权利、义务、责任。</w:t>
      </w:r>
    </w:p>
    <w:p w14:paraId="2020ED6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1、甲方主体变更</w:t>
      </w:r>
    </w:p>
    <w:p w14:paraId="0503F38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甲方可能在协议履行过程中发生主体的变化，因此在此特别说明：</w:t>
      </w:r>
    </w:p>
    <w:p w14:paraId="06B118B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1.1甲方的主体变更、企业名称变更等有关事宜不需要取得乙方的同意或批准，但在变更前甲方应书面告知乙方；</w:t>
      </w:r>
    </w:p>
    <w:p w14:paraId="5AFF86F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1.2甲方主体变更完成后，须将主体变更的情况书面告知乙方，明确甲方在本协议中的承接主体。乙方须无条件接受甲方的此种变化并签订相应的补充协议。</w:t>
      </w:r>
    </w:p>
    <w:p w14:paraId="727A871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2、乙方的主体变更</w:t>
      </w:r>
    </w:p>
    <w:p w14:paraId="50F60C0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为保障协议的履行，乙方如发生分立、合并、兼并、收购、重组等主体变化时，须书面提前告知甲方。如甲方认为乙方的此种变化可能会不利于本协议的履行、本项目的合作时，</w:t>
      </w:r>
    </w:p>
    <w:p w14:paraId="09E16BB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有权要求变更协议内容或要求乙方提供补充担保，也有权提前终止本协议而不承担任何责任，且甲方无需对此种判断（即甲方认为乙方的变化可能影响本协议履行）向乙方提出任何书面的解释、证明或其他任何方式的确认。</w:t>
      </w:r>
    </w:p>
    <w:p w14:paraId="78168B5F">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rPr>
        <w:t>、违约处理</w:t>
      </w:r>
    </w:p>
    <w:p w14:paraId="7E93B80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1、正常终止</w:t>
      </w:r>
    </w:p>
    <w:p w14:paraId="4C3656F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本协议约定的服务期限届满。</w:t>
      </w:r>
    </w:p>
    <w:p w14:paraId="5AACB2F3">
      <w:pPr>
        <w:numPr>
          <w:ilvl w:val="0"/>
          <w:numId w:val="4"/>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甲乙双方应全面地履行本合同，不履行或不完全履行的，视为违约，应承担相应的违约责任。</w:t>
      </w:r>
    </w:p>
    <w:p w14:paraId="3D19D5B9">
      <w:pPr>
        <w:numPr>
          <w:ilvl w:val="0"/>
          <w:numId w:val="4"/>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合同期内，如因不可抗力事件因素造成双方无法继续履行合同，双方均不承担违约责任。因不可抗力而终止合同的甲方将无息退还乙方的全部履约保证金（履约保函），有需扣除的部分除外。</w:t>
      </w:r>
    </w:p>
    <w:p w14:paraId="1019412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如乙方擅自提前终止本协议时，甲方已收取的履约保证金不退还乙方。此外，乙方须向甲方赔偿因擅自提前终止协议而给甲方造成的经济损失(包括直接损失和间接损失），损失赔偿的数额最高不超过履约保证金的100%。</w:t>
      </w:r>
    </w:p>
    <w:p w14:paraId="6B00942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如甲方擅自提前终止本协议的，甲方须向乙方退还履约保证金。此外，甲方须向乙方赔偿因擅自提前终止协议而给乙方造成的经济损失(包括直接损失和间接损失），损失赔偿的数额最高不超过履约保证金的100%。</w:t>
      </w:r>
    </w:p>
    <w:p w14:paraId="2D2EE0D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6、合同期内，如因滁宁城际铁路交通整体需要进行基建维修、交通车站布局调整、不可抗力因素造成甲方阶段性或长期无法继续履行合同，甲方不承担违约责任。</w:t>
      </w:r>
    </w:p>
    <w:p w14:paraId="5AB5F62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7、在合同履行期内，因任何一方重大违约，经催告后违约方仍不纠正违约行为的，另一方有权解除合同。</w:t>
      </w:r>
    </w:p>
    <w:p w14:paraId="250B805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乙方在经营过程中，由于乙方行为产生的任何经济、法律、行政后果，甲方不负任何责任。因乙方行为给甲方造成经济损失的，乙方必须在损失事实发生后30日内给予甲方赔偿，但甲方应提供相应证据；乙方拒不赔偿的，甲方有权直接从乙方的履约保证金（履约保函）中扣除，履约保证金（履约保函）金额不足以赔偿的，甲方有权向乙方追偿。</w:t>
      </w:r>
    </w:p>
    <w:p w14:paraId="2A7025B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9、有下列情形之一的，甲方有权终止合同，并扣除履约保函(保证金）作为乙方违约金，并有权就因乙方所造成的损失向乙方索赔：</w:t>
      </w:r>
    </w:p>
    <w:p w14:paraId="1140772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9.1乙方因违反国家有关政策、法规，而被国家行政机关责令停业。</w:t>
      </w:r>
    </w:p>
    <w:p w14:paraId="68DD5F4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9.2乙方未经甲方书面同意，擅自对甲方所提供的经营设施设备进行改造。</w:t>
      </w:r>
    </w:p>
    <w:p w14:paraId="1DB5015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9.3乙方未提交或未按时、足额向甲方提交履约保证金（履约保函）满30日的。</w:t>
      </w:r>
    </w:p>
    <w:p w14:paraId="7D157CD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9.4乙方违反甲方相关管理制度并造成甲方严重损失的，并且乙方履约保证金(履约保函）金额和预付的合同价款不足弥补甲方经济损失的。</w:t>
      </w:r>
    </w:p>
    <w:p w14:paraId="635464F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10、不可抗力</w:t>
      </w:r>
    </w:p>
    <w:p w14:paraId="2432FAF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10.1本条所述的“不可抗力”系指那些无法控制，不可预见的事件，但不包括违约或疏忽。不可抗力包括但不限于：战争、暴乱、洪水、台风、地震、防疫限制和禁运等。</w:t>
      </w:r>
    </w:p>
    <w:p w14:paraId="56CBCD8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10.2若不可抗力发生使合同执行受阻，则合同执行时间根据受影响的时间相应延长，但合同报价不得调整。</w:t>
      </w:r>
    </w:p>
    <w:p w14:paraId="612360B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10.3受阻方应在不可抗力事件发生后7天内，以书面形式将不可抗力的情况和原因通知另一方，并附上有关证明材料。</w:t>
      </w:r>
    </w:p>
    <w:p w14:paraId="1C82A4A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10.4任何因不可抗力所导致延误履行合同或不能履行合同，受阻方将不因此而构成违约。</w:t>
      </w:r>
    </w:p>
    <w:p w14:paraId="4A8EE4A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10.5在发生任何不可抗力的情况时，只要合理可行，甲方和乙方双方应尽力继续履行其合同中的义务。如不可抗力的发生并未对合同的执行带来实质性影响，任何一方不得以此</w:t>
      </w:r>
    </w:p>
    <w:p w14:paraId="32F4F7D8">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为理由终止合同。在未终止合同的情况下，不可抗力造成的损失由合同双方各自承担。</w:t>
      </w:r>
    </w:p>
    <w:p w14:paraId="09A730C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10.6如果不可抗力已发生并持续一百八十（180）天，则尽管由于此原因可能已允许乙方延长工期，双方中任何一方均有权在通知对方三十（30）天后终止合同。如果三十(30）天的期限到期后不可抗力仍在持续，本合同即告终止。</w:t>
      </w:r>
    </w:p>
    <w:p w14:paraId="26EF35C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10.7如果不可抗力的情况发生并因此根据民法典双方均被解除或进一步履行合同，乙方的履约保证金不被没收。</w:t>
      </w:r>
    </w:p>
    <w:p w14:paraId="65320C15">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七、资料</w:t>
      </w:r>
    </w:p>
    <w:p w14:paraId="14F6B46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没有甲方事先书面同意，乙方不得将由甲方提供的有关合同或任何合同条文、规格、计划、图纸、模型、样品或资料提供给乙方雇用的、履行本合同以外的任何其他人。即使向本合同的雇员提供，也应注意保密并限于履行合同必须的范围。</w:t>
      </w:r>
    </w:p>
    <w:p w14:paraId="7ED3D2A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2、如果甲方收到乙方提交的文件后发现有遗漏、损坏或内容有差异，乙方收到甲方通知后应在7日内免费更换。</w:t>
      </w:r>
    </w:p>
    <w:p w14:paraId="2504ED3D">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3、乙方应提交文件的全部费用由乙方自行负责，甲方不另行支付任何费用。</w:t>
      </w:r>
    </w:p>
    <w:p w14:paraId="357445A1">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八、知识产权</w:t>
      </w:r>
    </w:p>
    <w:p w14:paraId="7B694A1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乙方应保证其根据本协议为甲方提供的技术资料具有永久合法使用权，并保证免受第三方提出侵犯其任何专利、注册的设计、版权、商标或商品名称、或其他任何知识产权的起诉和索赔；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35C4AD48">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 </w:t>
      </w:r>
    </w:p>
    <w:p w14:paraId="597B728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3、甲方提供给乙方的企业标识、图片、文字等任何资料、文件的知识产权归属于甲方，乙方仅能在本项目范围内使用。 </w:t>
      </w:r>
    </w:p>
    <w:p w14:paraId="6306C290">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九、税费</w:t>
      </w:r>
    </w:p>
    <w:p w14:paraId="763F1F6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1、中国政府根据现行的税法及相关法规规定对甲方征收的与本协议有关的一切税费均由甲方负担，甲方对自身的收入全额缴税；</w:t>
      </w:r>
    </w:p>
    <w:p w14:paraId="50E592C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2、中国政府根据现行的税法及相关法规规定对乙方征收的与本协议有关的一切税费均由乙方负担；</w:t>
      </w:r>
    </w:p>
    <w:p w14:paraId="7745CFB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3、在中国境外和香港、澳门及台湾区域发生的与本协议有关的一切税费均由乙方负担。</w:t>
      </w:r>
    </w:p>
    <w:p w14:paraId="4A04EFA3">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十、争议解决</w:t>
      </w:r>
    </w:p>
    <w:p w14:paraId="3F2A6FF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本合同履行过程中产生的纠纷，双方应友好协商解决，协商不成的，任何一方有权向滁州仲裁委员会提起仲裁。</w:t>
      </w:r>
    </w:p>
    <w:p w14:paraId="7B312D48">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、其它</w:t>
      </w:r>
    </w:p>
    <w:p w14:paraId="3A17B22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1、本合同的订立、效力、解释和争议等均由中华人民共和国法律管辖。</w:t>
      </w:r>
    </w:p>
    <w:p w14:paraId="1CE13EA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2、合同未尽事宜由双方根据国家有关法律、法规的规定，共同协商订立补充协议，补充协议应符合《中华人民共和国民法典》及其他有关法律、法规和规定，与本合同具有同等的法律效力。</w:t>
      </w:r>
    </w:p>
    <w:p w14:paraId="281548C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3、本合同与下列文件一起构成合同文件，下列文件互相补充和解释，如有不明确或不一致之处，以合同约定次序在先者为准。</w:t>
      </w:r>
    </w:p>
    <w:p w14:paraId="6B7B063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3.1中标通知书；</w:t>
      </w:r>
    </w:p>
    <w:p w14:paraId="49BDCFA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3.2本合同补充合同（如有)；</w:t>
      </w:r>
    </w:p>
    <w:p w14:paraId="27F98E7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3.3甲乙方承诺文件；</w:t>
      </w:r>
    </w:p>
    <w:p w14:paraId="7C992A6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3.4其他合同文件。</w:t>
      </w:r>
    </w:p>
    <w:p w14:paraId="191727F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4、本合同自甲方、乙方签字并加盖各自公司印章后生效。</w:t>
      </w:r>
    </w:p>
    <w:p w14:paraId="58B00B5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5、本合同正本一式拾份，甲方执陆份，乙方执肆份，具有同等法律效力。</w:t>
      </w:r>
    </w:p>
    <w:p w14:paraId="1AFD7F32">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文件送达与签收</w:t>
      </w:r>
    </w:p>
    <w:p w14:paraId="2556834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1、与合同有关的通知、批准、证明、证书、指示、要求、请求、同意、意见、确定和决定等，均应采用书面形式。</w:t>
      </w:r>
    </w:p>
    <w:p w14:paraId="796128B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甲乙双方就本项目中的通知、批准、证明、证书、指示、要求、请求、同意、意见、确定和决定等来往函件，均应在合同约定的期限内送达指定地点和接收人，并办理签收手续，相关邮件以到达对方邮箱时间为准。</w:t>
      </w:r>
    </w:p>
    <w:p w14:paraId="17F400E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3、为便于双方执行合同，双方约定本项目联络人如下：</w:t>
      </w:r>
    </w:p>
    <w:p w14:paraId="616D3A2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甲方联络人： </w:t>
      </w:r>
    </w:p>
    <w:p w14:paraId="485871B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w:t>
      </w:r>
    </w:p>
    <w:p w14:paraId="2F1F0DF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邮件地址：</w:t>
      </w:r>
    </w:p>
    <w:p w14:paraId="15E8346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乙方联络人：</w:t>
      </w:r>
    </w:p>
    <w:p w14:paraId="57291438">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联系电话： </w:t>
      </w:r>
    </w:p>
    <w:p w14:paraId="7002FFC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邮件地址：</w:t>
      </w:r>
    </w:p>
    <w:p w14:paraId="7CB4D8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w:t>
      </w:r>
    </w:p>
    <w:p w14:paraId="28C436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（盖章）</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（盖章）</w:t>
      </w:r>
    </w:p>
    <w:p w14:paraId="37A895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法定代表人</w:t>
      </w:r>
    </w:p>
    <w:p w14:paraId="7F2A16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或授权代表：（签字）</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或授权代表：（签字）</w:t>
      </w:r>
    </w:p>
    <w:p w14:paraId="5E1D1A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时间：    年    月   日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时间：    年    月    日</w:t>
      </w:r>
    </w:p>
    <w:p w14:paraId="62E9F071">
      <w:pPr>
        <w:rPr>
          <w:rFonts w:hint="eastAsia"/>
          <w:bCs/>
          <w:color w:val="auto"/>
          <w:szCs w:val="32"/>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地址：</w:t>
      </w:r>
      <w:r>
        <w:rPr>
          <w:rFonts w:hint="eastAsia"/>
          <w:bCs/>
          <w:color w:val="auto"/>
          <w:szCs w:val="32"/>
          <w:highlight w:val="none"/>
        </w:rPr>
        <w:br w:type="page"/>
      </w:r>
    </w:p>
    <w:p w14:paraId="3A3DFD1F">
      <w:pPr>
        <w:pStyle w:val="45"/>
        <w:spacing w:beforeLines="50" w:afterLines="50" w:line="440" w:lineRule="exact"/>
        <w:rPr>
          <w:bCs/>
          <w:color w:val="auto"/>
          <w:szCs w:val="32"/>
          <w:highlight w:val="none"/>
        </w:rPr>
      </w:pPr>
      <w:r>
        <w:rPr>
          <w:rFonts w:hint="eastAsia"/>
          <w:bCs/>
          <w:color w:val="auto"/>
          <w:szCs w:val="32"/>
          <w:highlight w:val="none"/>
        </w:rPr>
        <w:t>第</w:t>
      </w:r>
      <w:r>
        <w:rPr>
          <w:rFonts w:hint="eastAsia"/>
          <w:bCs/>
          <w:color w:val="auto"/>
          <w:szCs w:val="32"/>
          <w:highlight w:val="none"/>
          <w:lang w:val="en-US" w:eastAsia="zh-CN"/>
        </w:rPr>
        <w:t>七</w:t>
      </w:r>
      <w:r>
        <w:rPr>
          <w:rFonts w:hint="eastAsia"/>
          <w:bCs/>
          <w:color w:val="auto"/>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color w:val="auto"/>
          <w:highlight w:val="none"/>
        </w:rPr>
      </w:pPr>
    </w:p>
    <w:p w14:paraId="082E4B32">
      <w:pPr>
        <w:rPr>
          <w:color w:val="auto"/>
          <w:highlight w:val="none"/>
        </w:rPr>
      </w:pPr>
    </w:p>
    <w:p w14:paraId="5069B979">
      <w:pPr>
        <w:rPr>
          <w:color w:val="auto"/>
          <w:highlight w:val="none"/>
        </w:rPr>
      </w:pPr>
    </w:p>
    <w:p w14:paraId="56143D65">
      <w:pPr>
        <w:jc w:val="center"/>
        <w:rPr>
          <w:rFonts w:eastAsia="黑体"/>
          <w:color w:val="auto"/>
          <w:sz w:val="20"/>
          <w:szCs w:val="20"/>
          <w:highlight w:val="none"/>
        </w:rPr>
      </w:pPr>
      <w:r>
        <w:rPr>
          <w:rFonts w:eastAsia="黑体"/>
          <w:color w:val="auto"/>
          <w:sz w:val="28"/>
          <w:szCs w:val="28"/>
          <w:highlight w:val="none"/>
        </w:rPr>
        <w:t>（项目名称）</w:t>
      </w:r>
    </w:p>
    <w:p w14:paraId="7576ABA9">
      <w:pPr>
        <w:jc w:val="center"/>
        <w:rPr>
          <w:rFonts w:eastAsia="黑体"/>
          <w:color w:val="auto"/>
          <w:sz w:val="20"/>
          <w:szCs w:val="20"/>
          <w:highlight w:val="none"/>
        </w:rPr>
      </w:pPr>
    </w:p>
    <w:p w14:paraId="7FF06958">
      <w:pPr>
        <w:jc w:val="center"/>
        <w:rPr>
          <w:rFonts w:eastAsia="黑体"/>
          <w:color w:val="auto"/>
          <w:sz w:val="20"/>
          <w:szCs w:val="20"/>
          <w:highlight w:val="none"/>
        </w:rPr>
      </w:pPr>
    </w:p>
    <w:p w14:paraId="3165CB1E">
      <w:pPr>
        <w:jc w:val="center"/>
        <w:rPr>
          <w:rFonts w:eastAsia="黑体"/>
          <w:color w:val="auto"/>
          <w:sz w:val="20"/>
          <w:szCs w:val="20"/>
          <w:highlight w:val="none"/>
        </w:rPr>
      </w:pPr>
    </w:p>
    <w:p w14:paraId="75BA9D51">
      <w:pPr>
        <w:rPr>
          <w:rFonts w:eastAsia="黑体"/>
          <w:color w:val="auto"/>
          <w:sz w:val="20"/>
          <w:szCs w:val="20"/>
          <w:highlight w:val="none"/>
        </w:rPr>
      </w:pPr>
    </w:p>
    <w:p w14:paraId="347DEE05">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一</w:t>
      </w:r>
    </w:p>
    <w:p w14:paraId="0B28D98A">
      <w:pPr>
        <w:jc w:val="center"/>
        <w:rPr>
          <w:rFonts w:eastAsia="黑体"/>
          <w:color w:val="auto"/>
          <w:sz w:val="44"/>
          <w:szCs w:val="44"/>
          <w:highlight w:val="none"/>
        </w:rPr>
      </w:pPr>
      <w:r>
        <w:rPr>
          <w:rFonts w:hint="eastAsia" w:eastAsia="黑体"/>
          <w:color w:val="auto"/>
          <w:sz w:val="44"/>
          <w:szCs w:val="44"/>
          <w:highlight w:val="none"/>
        </w:rPr>
        <w:t>（资信证明文件）</w:t>
      </w:r>
    </w:p>
    <w:p w14:paraId="4404D72F">
      <w:pPr>
        <w:jc w:val="center"/>
        <w:rPr>
          <w:rFonts w:eastAsia="黑体"/>
          <w:color w:val="auto"/>
          <w:sz w:val="44"/>
          <w:szCs w:val="44"/>
          <w:highlight w:val="none"/>
        </w:rPr>
      </w:pPr>
      <w:r>
        <w:rPr>
          <w:rFonts w:hint="eastAsia" w:eastAsia="黑体"/>
          <w:color w:val="auto"/>
          <w:sz w:val="44"/>
          <w:szCs w:val="44"/>
          <w:highlight w:val="none"/>
        </w:rPr>
        <w:t xml:space="preserve"> </w:t>
      </w:r>
    </w:p>
    <w:p w14:paraId="69FD5586">
      <w:pPr>
        <w:rPr>
          <w:rFonts w:eastAsia="黑体"/>
          <w:color w:val="auto"/>
          <w:sz w:val="28"/>
          <w:szCs w:val="28"/>
          <w:highlight w:val="none"/>
        </w:rPr>
      </w:pPr>
    </w:p>
    <w:p w14:paraId="61671114">
      <w:pPr>
        <w:rPr>
          <w:rFonts w:eastAsia="黑体"/>
          <w:color w:val="auto"/>
          <w:sz w:val="28"/>
          <w:szCs w:val="28"/>
          <w:highlight w:val="none"/>
        </w:rPr>
      </w:pPr>
    </w:p>
    <w:p w14:paraId="7707CE46">
      <w:pPr>
        <w:rPr>
          <w:rFonts w:eastAsia="黑体"/>
          <w:color w:val="auto"/>
          <w:sz w:val="28"/>
          <w:szCs w:val="28"/>
          <w:highlight w:val="none"/>
        </w:rPr>
      </w:pPr>
    </w:p>
    <w:p w14:paraId="3E29662A">
      <w:pPr>
        <w:rPr>
          <w:rFonts w:eastAsia="黑体"/>
          <w:color w:val="auto"/>
          <w:sz w:val="28"/>
          <w:szCs w:val="28"/>
          <w:highlight w:val="none"/>
        </w:rPr>
      </w:pPr>
    </w:p>
    <w:p w14:paraId="69D02104">
      <w:pPr>
        <w:pStyle w:val="16"/>
        <w:ind w:firstLine="420"/>
        <w:rPr>
          <w:rFonts w:ascii="Times New Roman"/>
          <w:color w:val="auto"/>
          <w:szCs w:val="24"/>
          <w:highlight w:val="none"/>
        </w:rPr>
      </w:pPr>
    </w:p>
    <w:p w14:paraId="3062FE47">
      <w:pPr>
        <w:rPr>
          <w:rFonts w:ascii="Times New Roman"/>
          <w:color w:val="auto"/>
          <w:szCs w:val="24"/>
          <w:highlight w:val="none"/>
        </w:rPr>
      </w:pPr>
    </w:p>
    <w:p w14:paraId="78F93F73">
      <w:pPr>
        <w:pStyle w:val="16"/>
        <w:rPr>
          <w:rFonts w:ascii="Times New Roman"/>
          <w:color w:val="auto"/>
          <w:szCs w:val="24"/>
          <w:highlight w:val="none"/>
        </w:rPr>
      </w:pPr>
    </w:p>
    <w:p w14:paraId="1E9D0BD8">
      <w:pPr>
        <w:rPr>
          <w:rFonts w:ascii="Times New Roman"/>
          <w:color w:val="auto"/>
          <w:szCs w:val="24"/>
          <w:highlight w:val="none"/>
        </w:rPr>
      </w:pPr>
    </w:p>
    <w:p w14:paraId="13AFD6AD">
      <w:pPr>
        <w:pStyle w:val="16"/>
        <w:rPr>
          <w:color w:val="auto"/>
          <w:highlight w:val="none"/>
        </w:rPr>
      </w:pPr>
    </w:p>
    <w:p w14:paraId="0799C826">
      <w:pPr>
        <w:pStyle w:val="16"/>
        <w:ind w:firstLine="420"/>
        <w:rPr>
          <w:color w:val="auto"/>
          <w:highlight w:val="none"/>
        </w:rPr>
      </w:pPr>
    </w:p>
    <w:p w14:paraId="63F5BB9B">
      <w:pPr>
        <w:rPr>
          <w:rFonts w:eastAsia="黑体"/>
          <w:color w:val="auto"/>
          <w:sz w:val="28"/>
          <w:szCs w:val="28"/>
          <w:highlight w:val="none"/>
        </w:rPr>
      </w:pPr>
    </w:p>
    <w:p w14:paraId="6ECEBDFF">
      <w:pPr>
        <w:rPr>
          <w:rFonts w:eastAsia="黑体"/>
          <w:color w:val="auto"/>
          <w:sz w:val="28"/>
          <w:szCs w:val="28"/>
          <w:highlight w:val="none"/>
        </w:rPr>
      </w:pPr>
    </w:p>
    <w:p w14:paraId="6252277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097218CB">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211A5DCF">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7802AEA0">
      <w:pPr>
        <w:rPr>
          <w:color w:val="auto"/>
          <w:highlight w:val="none"/>
        </w:rPr>
      </w:pPr>
      <w:bookmarkStart w:id="261" w:name="_Toc35424971"/>
      <w:bookmarkStart w:id="262" w:name="_Toc35425137"/>
      <w:bookmarkStart w:id="263" w:name="_Toc12683"/>
    </w:p>
    <w:p w14:paraId="5288B7B1">
      <w:pPr>
        <w:spacing w:beforeLines="50" w:afterLines="50" w:line="440" w:lineRule="exact"/>
        <w:ind w:firstLine="643" w:firstLineChars="200"/>
        <w:jc w:val="center"/>
        <w:rPr>
          <w:rStyle w:val="121"/>
          <w:rFonts w:hint="eastAsia" w:ascii="宋体" w:hAnsi="宋体" w:cs="宋体"/>
          <w:color w:val="auto"/>
          <w:sz w:val="32"/>
          <w:highlight w:val="none"/>
        </w:rPr>
      </w:pPr>
      <w:bookmarkStart w:id="264" w:name="_Toc78803399"/>
      <w:r>
        <w:rPr>
          <w:rStyle w:val="121"/>
          <w:rFonts w:hint="eastAsia" w:ascii="宋体" w:hAnsi="宋体" w:cs="宋体"/>
          <w:color w:val="auto"/>
          <w:sz w:val="32"/>
          <w:highlight w:val="none"/>
        </w:rPr>
        <w:br w:type="page"/>
      </w:r>
      <w:bookmarkEnd w:id="261"/>
      <w:bookmarkEnd w:id="262"/>
      <w:bookmarkEnd w:id="263"/>
      <w:bookmarkEnd w:id="264"/>
    </w:p>
    <w:p w14:paraId="28C89471">
      <w:pPr>
        <w:spacing w:beforeLines="50" w:afterLines="50" w:line="440" w:lineRule="exact"/>
        <w:ind w:firstLine="643" w:firstLineChars="200"/>
        <w:jc w:val="center"/>
        <w:rPr>
          <w:rStyle w:val="121"/>
          <w:rFonts w:hint="eastAsia" w:ascii="宋体" w:hAnsi="宋体" w:cs="宋体"/>
          <w:color w:val="auto"/>
          <w:sz w:val="32"/>
          <w:highlight w:val="none"/>
        </w:rPr>
      </w:pPr>
    </w:p>
    <w:p w14:paraId="0EBCA57C">
      <w:pPr>
        <w:spacing w:beforeLines="50" w:afterLines="50" w:line="440" w:lineRule="exact"/>
        <w:ind w:firstLine="562" w:firstLineChars="200"/>
        <w:jc w:val="center"/>
        <w:rPr>
          <w:rFonts w:ascii="宋体" w:hAnsi="宋体" w:cs="宋体"/>
          <w:b/>
          <w:color w:val="auto"/>
          <w:sz w:val="28"/>
          <w:szCs w:val="28"/>
          <w:highlight w:val="none"/>
        </w:rPr>
      </w:pPr>
      <w:r>
        <w:rPr>
          <w:rFonts w:hint="eastAsia" w:ascii="宋体" w:hAnsi="宋体" w:cs="宋体"/>
          <w:b/>
          <w:color w:val="auto"/>
          <w:sz w:val="28"/>
          <w:szCs w:val="28"/>
          <w:highlight w:val="none"/>
        </w:rPr>
        <w:t>目</w:t>
      </w:r>
      <w:r>
        <w:rPr>
          <w:rFonts w:hint="eastAsia" w:ascii="宋体" w:hAnsi="宋体" w:cs="宋体"/>
          <w:b/>
          <w:color w:val="auto"/>
          <w:sz w:val="28"/>
          <w:szCs w:val="28"/>
          <w:highlight w:val="none"/>
          <w:lang w:val="en-US" w:eastAsia="zh-CN"/>
        </w:rPr>
        <w:t xml:space="preserve">   </w:t>
      </w:r>
      <w:r>
        <w:rPr>
          <w:rFonts w:hint="eastAsia" w:ascii="宋体" w:hAnsi="宋体" w:cs="宋体"/>
          <w:b/>
          <w:color w:val="auto"/>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招标文件中要求的资信评审（评分）的支持资料</w:t>
      </w:r>
      <w:r>
        <w:rPr>
          <w:rFonts w:hint="eastAsia" w:ascii="宋体" w:hAnsi="Times New Roman" w:eastAsia="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5" w:name="_Toc506107356"/>
      <w:bookmarkStart w:id="266" w:name="_Toc503196197"/>
      <w:bookmarkStart w:id="267" w:name="_Toc26598"/>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单位性质：</w:t>
      </w:r>
      <w:r>
        <w:rPr>
          <w:rFonts w:hint="eastAsia" w:ascii="宋体"/>
          <w:color w:val="auto"/>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color w:val="auto"/>
          <w:sz w:val="24"/>
          <w:highlight w:val="none"/>
          <w:u w:val="singl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身份证号码：</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，系</w:t>
      </w:r>
      <w:r>
        <w:rPr>
          <w:rFonts w:hint="eastAsia" w:ascii="宋体"/>
          <w:color w:val="auto"/>
          <w:sz w:val="24"/>
          <w:highlight w:val="none"/>
          <w:u w:val="single"/>
        </w:rPr>
        <w:t xml:space="preserve">     （投标人名称）</w:t>
      </w:r>
      <w:r>
        <w:rPr>
          <w:rFonts w:hint="eastAsia" w:ascii="宋体"/>
          <w:color w:val="auto"/>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color w:val="auto"/>
          <w:highlight w:val="none"/>
        </w:rPr>
      </w:pPr>
      <w:r>
        <w:rPr>
          <w:rFonts w:hint="eastAsia" w:ascii="宋体"/>
          <w:color w:val="auto"/>
          <w:sz w:val="24"/>
          <w:highlight w:val="none"/>
        </w:rPr>
        <w:t>附：</w:t>
      </w:r>
      <w:r>
        <w:rPr>
          <w:rFonts w:hint="eastAsia" w:ascii="宋体"/>
          <w:b/>
          <w:color w:val="auto"/>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盖</w:t>
      </w:r>
      <w:r>
        <w:rPr>
          <w:rFonts w:hint="eastAsia" w:ascii="宋体"/>
          <w:color w:val="auto"/>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color w:val="auto"/>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color w:val="auto"/>
          <w:sz w:val="24"/>
          <w:highlight w:val="none"/>
        </w:rPr>
      </w:pPr>
      <w:r>
        <w:rPr>
          <w:rFonts w:hint="eastAsia" w:ascii="宋体"/>
          <w:color w:val="auto"/>
          <w:sz w:val="24"/>
          <w:highlight w:val="none"/>
        </w:rPr>
        <w:t>本人</w:t>
      </w:r>
      <w:r>
        <w:rPr>
          <w:rFonts w:hint="eastAsia" w:ascii="宋体"/>
          <w:color w:val="auto"/>
          <w:sz w:val="24"/>
          <w:highlight w:val="none"/>
          <w:u w:val="single"/>
        </w:rPr>
        <w:t xml:space="preserve"> （姓名）</w:t>
      </w:r>
      <w:r>
        <w:rPr>
          <w:rFonts w:hint="eastAsia" w:ascii="宋体"/>
          <w:color w:val="auto"/>
          <w:sz w:val="24"/>
          <w:highlight w:val="none"/>
        </w:rPr>
        <w:t>系</w:t>
      </w:r>
      <w:r>
        <w:rPr>
          <w:rFonts w:hint="eastAsia" w:ascii="宋体"/>
          <w:color w:val="auto"/>
          <w:sz w:val="24"/>
          <w:highlight w:val="none"/>
          <w:u w:val="single"/>
        </w:rPr>
        <w:t>（投标人）</w:t>
      </w:r>
      <w:r>
        <w:rPr>
          <w:rFonts w:hint="eastAsia" w:ascii="宋体"/>
          <w:color w:val="auto"/>
          <w:sz w:val="24"/>
          <w:highlight w:val="none"/>
        </w:rPr>
        <w:t>的法定代表人，现委托</w:t>
      </w:r>
      <w:r>
        <w:rPr>
          <w:rFonts w:hint="eastAsia" w:ascii="宋体"/>
          <w:color w:val="auto"/>
          <w:sz w:val="24"/>
          <w:highlight w:val="none"/>
          <w:u w:val="single"/>
        </w:rPr>
        <w:t>（姓名）</w:t>
      </w:r>
      <w:r>
        <w:rPr>
          <w:rFonts w:hint="eastAsia" w:ascii="宋体"/>
          <w:color w:val="auto"/>
          <w:sz w:val="24"/>
          <w:highlight w:val="none"/>
        </w:rPr>
        <w:t>为我方代理人。代理人根据授权，以我方名义签署、澄清、说明、补正、递交、撤回、修改</w:t>
      </w:r>
      <w:r>
        <w:rPr>
          <w:rFonts w:hint="eastAsia" w:ascii="宋体"/>
          <w:color w:val="auto"/>
          <w:sz w:val="24"/>
          <w:highlight w:val="none"/>
          <w:u w:val="single"/>
        </w:rPr>
        <w:t xml:space="preserve"> “   ”(项目名称）</w:t>
      </w:r>
      <w:r>
        <w:rPr>
          <w:rFonts w:hint="eastAsia" w:ascii="宋体"/>
          <w:color w:val="auto"/>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lang w:val="en-US" w:eastAsia="zh-CN"/>
        </w:rPr>
        <w:t xml:space="preserve">              </w:t>
      </w:r>
      <w:r>
        <w:rPr>
          <w:rFonts w:hint="eastAsia" w:ascii="宋体" w:cs="宋体"/>
          <w:color w:val="auto"/>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color w:val="auto"/>
          <w:sz w:val="24"/>
          <w:highlight w:val="none"/>
        </w:rPr>
      </w:pPr>
      <w:r>
        <w:rPr>
          <w:rFonts w:hint="eastAsia" w:ascii="宋体"/>
          <w:color w:val="auto"/>
          <w:sz w:val="24"/>
          <w:highlight w:val="none"/>
        </w:rPr>
        <w:t>附：</w:t>
      </w:r>
      <w:r>
        <w:rPr>
          <w:rFonts w:hint="eastAsia" w:ascii="宋体"/>
          <w:b/>
          <w:color w:val="auto"/>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color w:val="auto"/>
          <w:sz w:val="24"/>
          <w:highlight w:val="none"/>
        </w:rPr>
      </w:pPr>
      <w:r>
        <w:rPr>
          <w:rFonts w:hint="eastAsia" w:ascii="宋体"/>
          <w:b/>
          <w:color w:val="auto"/>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color w:val="auto"/>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color w:val="auto"/>
          <w:sz w:val="24"/>
          <w:highlight w:val="none"/>
        </w:rPr>
      </w:pPr>
      <w:r>
        <w:rPr>
          <w:rFonts w:hint="eastAsia" w:ascii="宋体"/>
          <w:color w:val="auto"/>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color w:val="auto"/>
          <w:sz w:val="24"/>
          <w:highlight w:val="none"/>
        </w:rPr>
      </w:pPr>
      <w:r>
        <w:rPr>
          <w:rFonts w:hint="eastAsia" w:ascii="宋体"/>
          <w:color w:val="auto"/>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auto"/>
          <w:sz w:val="28"/>
          <w:szCs w:val="28"/>
          <w:highlight w:val="none"/>
        </w:rPr>
      </w:pPr>
      <w:r>
        <w:rPr>
          <w:rFonts w:hint="eastAsia"/>
          <w:b/>
          <w:color w:val="auto"/>
          <w:sz w:val="28"/>
          <w:szCs w:val="28"/>
          <w:highlight w:val="none"/>
        </w:rPr>
        <w:t>（2）诚信投标承诺书</w:t>
      </w:r>
      <w:bookmarkEnd w:id="265"/>
      <w:bookmarkEnd w:id="266"/>
      <w:bookmarkEnd w:id="267"/>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、保证中标后不转包及使用挂靠</w:t>
      </w:r>
      <w:r>
        <w:rPr>
          <w:rFonts w:hint="eastAsia" w:ascii="宋体" w:hAnsi="宋体"/>
          <w:color w:val="auto"/>
          <w:szCs w:val="21"/>
          <w:highlight w:val="none"/>
          <w:lang w:val="en-US" w:eastAsia="zh-CN"/>
        </w:rPr>
        <w:t>服务</w:t>
      </w:r>
      <w:r>
        <w:rPr>
          <w:rFonts w:hint="eastAsia" w:ascii="宋体" w:hAnsi="宋体"/>
          <w:color w:val="auto"/>
          <w:szCs w:val="21"/>
          <w:highlight w:val="none"/>
        </w:rPr>
        <w:t>队伍，若有分包征得</w:t>
      </w:r>
      <w:r>
        <w:rPr>
          <w:rFonts w:hint="eastAsia" w:ascii="宋体" w:hAnsi="宋体"/>
          <w:color w:val="auto"/>
          <w:szCs w:val="21"/>
          <w:highlight w:val="none"/>
          <w:lang w:val="en-US" w:eastAsia="zh-CN"/>
        </w:rPr>
        <w:t>招标人</w:t>
      </w:r>
      <w:r>
        <w:rPr>
          <w:rFonts w:hint="eastAsia" w:ascii="宋体" w:hAnsi="宋体"/>
          <w:color w:val="auto"/>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、保证中标之后，按照投标文件承诺派驻人员，如有违反，同意接受</w:t>
      </w:r>
      <w:r>
        <w:rPr>
          <w:rFonts w:hint="eastAsia" w:ascii="宋体" w:hAnsi="宋体"/>
          <w:color w:val="auto"/>
          <w:szCs w:val="21"/>
          <w:highlight w:val="none"/>
          <w:lang w:val="en-US" w:eastAsia="zh-CN"/>
        </w:rPr>
        <w:t>招标</w:t>
      </w:r>
      <w:r>
        <w:rPr>
          <w:rFonts w:hint="eastAsia" w:ascii="宋体" w:hAnsi="宋体"/>
          <w:color w:val="auto"/>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auto"/>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olor w:val="auto"/>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208B8A18">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auto"/>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color w:val="auto"/>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color w:val="auto"/>
          <w:sz w:val="28"/>
          <w:szCs w:val="28"/>
          <w:highlight w:val="none"/>
        </w:rPr>
      </w:pPr>
      <w:r>
        <w:rPr>
          <w:rFonts w:hint="eastAsia"/>
          <w:b/>
          <w:bCs/>
          <w:color w:val="auto"/>
          <w:sz w:val="28"/>
          <w:szCs w:val="28"/>
          <w:highlight w:val="none"/>
          <w:lang w:eastAsia="zh-CN"/>
        </w:rPr>
        <w:t>（</w:t>
      </w:r>
      <w:r>
        <w:rPr>
          <w:rFonts w:hint="eastAsia"/>
          <w:b/>
          <w:bCs/>
          <w:color w:val="auto"/>
          <w:sz w:val="28"/>
          <w:szCs w:val="28"/>
          <w:highlight w:val="none"/>
          <w:lang w:val="en-US" w:eastAsia="zh-CN"/>
        </w:rPr>
        <w:t>3）</w:t>
      </w:r>
      <w:r>
        <w:rPr>
          <w:rFonts w:hint="eastAsia"/>
          <w:b/>
          <w:bCs/>
          <w:color w:val="auto"/>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本承诺声明：（投标人名称</w:t>
      </w:r>
      <w:r>
        <w:rPr>
          <w:rFonts w:hint="eastAsia" w:ascii="宋体" w:hAnsi="宋体"/>
          <w:color w:val="auto"/>
          <w:sz w:val="24"/>
          <w:highlight w:val="none"/>
          <w:lang w:eastAsia="zh-CN"/>
        </w:rPr>
        <w:t>）</w:t>
      </w:r>
      <w:r>
        <w:rPr>
          <w:rFonts w:hint="eastAsia" w:ascii="宋体" w:hAnsi="宋体"/>
          <w:color w:val="auto"/>
          <w:sz w:val="24"/>
          <w:highlight w:val="none"/>
        </w:rPr>
        <w:t>对本招标文件所有要求完全响应</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承诺其设计方案无条件供招标人使用。</w:t>
      </w:r>
      <w:r>
        <w:rPr>
          <w:rFonts w:hint="eastAsia" w:ascii="宋体" w:hAnsi="宋体"/>
          <w:color w:val="auto"/>
          <w:sz w:val="24"/>
          <w:highlight w:val="none"/>
        </w:rPr>
        <w:t>若有幸中标将严格按照以上承诺进行服务。</w:t>
      </w:r>
      <w:r>
        <w:rPr>
          <w:rFonts w:hint="eastAsia" w:ascii="宋体" w:hAnsi="宋体"/>
          <w:color w:val="auto"/>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特此声明</w:t>
      </w:r>
      <w:r>
        <w:rPr>
          <w:rFonts w:hint="eastAsia" w:ascii="宋体" w:hAnsi="宋体"/>
          <w:color w:val="auto"/>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u w:val="single"/>
        </w:rPr>
      </w:pPr>
      <w:r>
        <w:rPr>
          <w:rFonts w:hint="eastAsia" w:ascii="宋体" w:hAnsi="宋体"/>
          <w:color w:val="auto"/>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14:paraId="033D7BF9">
      <w:pPr>
        <w:spacing w:line="400" w:lineRule="exact"/>
        <w:ind w:firstLine="482" w:firstLineChars="200"/>
        <w:rPr>
          <w:rFonts w:ascii="宋体" w:hAnsi="宋体"/>
          <w:b/>
          <w:color w:val="auto"/>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auto"/>
          <w:szCs w:val="21"/>
          <w:highlight w:val="none"/>
        </w:rPr>
      </w:pPr>
    </w:p>
    <w:p w14:paraId="2BC6E2D1">
      <w:pPr>
        <w:jc w:val="center"/>
        <w:rPr>
          <w:rFonts w:eastAsia="黑体"/>
          <w:color w:val="auto"/>
          <w:sz w:val="28"/>
          <w:szCs w:val="28"/>
          <w:highlight w:val="none"/>
        </w:rPr>
      </w:pPr>
    </w:p>
    <w:p w14:paraId="66E43672">
      <w:pPr>
        <w:jc w:val="center"/>
        <w:rPr>
          <w:rFonts w:eastAsia="黑体"/>
          <w:color w:val="auto"/>
          <w:sz w:val="28"/>
          <w:szCs w:val="28"/>
          <w:highlight w:val="none"/>
        </w:rPr>
      </w:pPr>
    </w:p>
    <w:p w14:paraId="20447F5C">
      <w:pPr>
        <w:jc w:val="center"/>
        <w:rPr>
          <w:rFonts w:eastAsia="黑体"/>
          <w:color w:val="auto"/>
          <w:sz w:val="20"/>
          <w:szCs w:val="20"/>
          <w:highlight w:val="none"/>
        </w:rPr>
      </w:pPr>
      <w:r>
        <w:rPr>
          <w:rFonts w:eastAsia="黑体"/>
          <w:color w:val="auto"/>
          <w:sz w:val="28"/>
          <w:szCs w:val="28"/>
          <w:highlight w:val="none"/>
        </w:rPr>
        <w:t>（项目名称）</w:t>
      </w:r>
    </w:p>
    <w:p w14:paraId="66B855F2">
      <w:pPr>
        <w:jc w:val="center"/>
        <w:rPr>
          <w:rFonts w:eastAsia="黑体"/>
          <w:color w:val="auto"/>
          <w:sz w:val="20"/>
          <w:szCs w:val="20"/>
          <w:highlight w:val="none"/>
        </w:rPr>
      </w:pPr>
    </w:p>
    <w:p w14:paraId="792DB5BC">
      <w:pPr>
        <w:rPr>
          <w:rFonts w:eastAsia="黑体"/>
          <w:color w:val="auto"/>
          <w:sz w:val="20"/>
          <w:szCs w:val="20"/>
          <w:highlight w:val="none"/>
        </w:rPr>
      </w:pPr>
    </w:p>
    <w:p w14:paraId="60025CC7">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二</w:t>
      </w:r>
    </w:p>
    <w:p w14:paraId="11881936">
      <w:pPr>
        <w:jc w:val="center"/>
        <w:rPr>
          <w:rFonts w:eastAsia="黑体"/>
          <w:color w:val="auto"/>
          <w:sz w:val="44"/>
          <w:szCs w:val="44"/>
          <w:highlight w:val="none"/>
        </w:rPr>
      </w:pPr>
      <w:r>
        <w:rPr>
          <w:rFonts w:hint="eastAsia" w:eastAsia="黑体"/>
          <w:color w:val="auto"/>
          <w:sz w:val="44"/>
          <w:szCs w:val="44"/>
          <w:highlight w:val="none"/>
        </w:rPr>
        <w:t>（技术标文件）</w:t>
      </w:r>
    </w:p>
    <w:p w14:paraId="78C47936">
      <w:pPr>
        <w:rPr>
          <w:rFonts w:eastAsia="黑体"/>
          <w:color w:val="auto"/>
          <w:sz w:val="28"/>
          <w:szCs w:val="28"/>
          <w:highlight w:val="none"/>
        </w:rPr>
      </w:pPr>
    </w:p>
    <w:p w14:paraId="13EF90FD">
      <w:pPr>
        <w:rPr>
          <w:rFonts w:eastAsia="黑体"/>
          <w:color w:val="auto"/>
          <w:sz w:val="28"/>
          <w:szCs w:val="28"/>
          <w:highlight w:val="none"/>
        </w:rPr>
      </w:pPr>
    </w:p>
    <w:p w14:paraId="4307D5B0">
      <w:pPr>
        <w:rPr>
          <w:rFonts w:eastAsia="黑体"/>
          <w:color w:val="auto"/>
          <w:sz w:val="28"/>
          <w:szCs w:val="28"/>
          <w:highlight w:val="none"/>
        </w:rPr>
      </w:pPr>
    </w:p>
    <w:p w14:paraId="6B2C05F0">
      <w:pPr>
        <w:pStyle w:val="16"/>
        <w:ind w:firstLine="560"/>
        <w:rPr>
          <w:rFonts w:eastAsia="黑体"/>
          <w:color w:val="auto"/>
          <w:sz w:val="28"/>
          <w:szCs w:val="28"/>
          <w:highlight w:val="none"/>
        </w:rPr>
      </w:pPr>
    </w:p>
    <w:p w14:paraId="1D0BEC5C">
      <w:pPr>
        <w:rPr>
          <w:rFonts w:eastAsia="黑体"/>
          <w:color w:val="auto"/>
          <w:sz w:val="28"/>
          <w:szCs w:val="28"/>
          <w:highlight w:val="none"/>
        </w:rPr>
      </w:pPr>
    </w:p>
    <w:p w14:paraId="28D93157">
      <w:pPr>
        <w:pStyle w:val="16"/>
        <w:ind w:firstLine="560"/>
        <w:rPr>
          <w:rFonts w:eastAsia="黑体"/>
          <w:color w:val="auto"/>
          <w:sz w:val="28"/>
          <w:szCs w:val="28"/>
          <w:highlight w:val="none"/>
        </w:rPr>
      </w:pPr>
    </w:p>
    <w:p w14:paraId="1FFAD3CF">
      <w:pPr>
        <w:rPr>
          <w:color w:val="auto"/>
          <w:highlight w:val="none"/>
        </w:rPr>
      </w:pPr>
    </w:p>
    <w:p w14:paraId="0D2C3844">
      <w:pPr>
        <w:rPr>
          <w:rFonts w:eastAsia="黑体"/>
          <w:color w:val="auto"/>
          <w:sz w:val="28"/>
          <w:szCs w:val="28"/>
          <w:highlight w:val="none"/>
        </w:rPr>
      </w:pPr>
    </w:p>
    <w:p w14:paraId="3D9426D8">
      <w:pPr>
        <w:rPr>
          <w:rFonts w:eastAsia="黑体"/>
          <w:color w:val="auto"/>
          <w:sz w:val="28"/>
          <w:szCs w:val="28"/>
          <w:highlight w:val="none"/>
        </w:rPr>
      </w:pPr>
    </w:p>
    <w:p w14:paraId="21A6EBE5">
      <w:pPr>
        <w:rPr>
          <w:rFonts w:eastAsia="黑体"/>
          <w:color w:val="auto"/>
          <w:sz w:val="28"/>
          <w:szCs w:val="28"/>
          <w:highlight w:val="none"/>
        </w:rPr>
      </w:pPr>
    </w:p>
    <w:p w14:paraId="02F825C3">
      <w:pPr>
        <w:rPr>
          <w:rFonts w:eastAsia="黑体"/>
          <w:color w:val="auto"/>
          <w:sz w:val="28"/>
          <w:szCs w:val="28"/>
          <w:highlight w:val="none"/>
        </w:rPr>
      </w:pPr>
    </w:p>
    <w:p w14:paraId="65C29CBB">
      <w:pPr>
        <w:rPr>
          <w:rFonts w:eastAsia="黑体"/>
          <w:color w:val="auto"/>
          <w:sz w:val="28"/>
          <w:szCs w:val="28"/>
          <w:highlight w:val="none"/>
        </w:rPr>
      </w:pPr>
    </w:p>
    <w:p w14:paraId="10883D19">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3B6C62B9">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1FCEEEFE">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3CA1B276">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color w:val="auto"/>
          <w:sz w:val="32"/>
          <w:highlight w:val="none"/>
        </w:rPr>
      </w:pPr>
    </w:p>
    <w:p w14:paraId="43AB31C5">
      <w:pPr>
        <w:spacing w:beforeLines="50" w:afterLines="50" w:line="440" w:lineRule="exact"/>
        <w:jc w:val="center"/>
        <w:rPr>
          <w:rStyle w:val="121"/>
          <w:rFonts w:ascii="宋体" w:hAnsi="宋体" w:cs="宋体"/>
          <w:color w:val="auto"/>
          <w:sz w:val="32"/>
          <w:highlight w:val="none"/>
        </w:rPr>
      </w:pPr>
      <w:r>
        <w:rPr>
          <w:rStyle w:val="121"/>
          <w:rFonts w:hint="eastAsia" w:ascii="宋体" w:hAnsi="宋体" w:cs="宋体"/>
          <w:color w:val="auto"/>
          <w:sz w:val="32"/>
          <w:highlight w:val="none"/>
        </w:rPr>
        <w:t>目</w:t>
      </w:r>
      <w:r>
        <w:rPr>
          <w:rStyle w:val="121"/>
          <w:rFonts w:hint="eastAsia" w:ascii="宋体" w:hAnsi="宋体" w:cs="宋体"/>
          <w:color w:val="auto"/>
          <w:sz w:val="32"/>
          <w:highlight w:val="none"/>
          <w:lang w:val="en-US"/>
        </w:rPr>
        <w:t xml:space="preserve">  </w:t>
      </w:r>
      <w:r>
        <w:rPr>
          <w:rStyle w:val="121"/>
          <w:rFonts w:hint="eastAsia" w:ascii="宋体" w:hAnsi="宋体" w:cs="宋体"/>
          <w:color w:val="auto"/>
          <w:sz w:val="32"/>
          <w:highlight w:val="none"/>
        </w:rPr>
        <w:t>录</w:t>
      </w:r>
    </w:p>
    <w:p w14:paraId="5045D6E2">
      <w:pPr>
        <w:numPr>
          <w:ilvl w:val="0"/>
          <w:numId w:val="5"/>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设计方案；</w:t>
      </w:r>
    </w:p>
    <w:p w14:paraId="14093959">
      <w:pPr>
        <w:numPr>
          <w:ilvl w:val="0"/>
          <w:numId w:val="5"/>
        </w:num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cs="Times New Roman"/>
          <w:color w:val="auto"/>
          <w:szCs w:val="21"/>
          <w:highlight w:val="none"/>
          <w:lang w:val="en-US" w:eastAsia="zh-CN"/>
        </w:rPr>
        <w:t>施工方案</w:t>
      </w:r>
      <w:r>
        <w:rPr>
          <w:rFonts w:hint="eastAsia" w:ascii="宋体" w:hAnsi="宋体" w:eastAsia="宋体" w:cs="宋体"/>
          <w:color w:val="auto"/>
          <w:szCs w:val="21"/>
          <w:highlight w:val="none"/>
          <w:lang w:val="en-US" w:eastAsia="zh-CN"/>
        </w:rPr>
        <w:t>。</w:t>
      </w:r>
    </w:p>
    <w:p w14:paraId="3EC023F2">
      <w:pPr>
        <w:spacing w:line="440" w:lineRule="exact"/>
        <w:ind w:firstLine="420" w:firstLineChars="200"/>
        <w:jc w:val="left"/>
        <w:rPr>
          <w:rFonts w:hint="eastAsia" w:ascii="宋体" w:hAnsi="宋体" w:eastAsia="宋体" w:cs="宋体"/>
          <w:color w:val="auto"/>
          <w:szCs w:val="21"/>
          <w:highlight w:val="none"/>
          <w:lang w:eastAsia="zh-CN"/>
        </w:rPr>
      </w:pPr>
    </w:p>
    <w:p w14:paraId="2EEC4B9E">
      <w:pPr>
        <w:pStyle w:val="16"/>
        <w:rPr>
          <w:rFonts w:hint="eastAsia"/>
          <w:color w:val="auto"/>
          <w:highlight w:val="none"/>
        </w:rPr>
      </w:pPr>
    </w:p>
    <w:p w14:paraId="19A10BDE">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7537EA8B">
      <w:pPr>
        <w:jc w:val="center"/>
        <w:rPr>
          <w:rFonts w:eastAsia="黑体"/>
          <w:color w:val="auto"/>
          <w:sz w:val="28"/>
          <w:szCs w:val="28"/>
          <w:highlight w:val="none"/>
        </w:rPr>
      </w:pPr>
    </w:p>
    <w:p w14:paraId="22366C21">
      <w:pPr>
        <w:jc w:val="center"/>
        <w:rPr>
          <w:rFonts w:eastAsia="黑体"/>
          <w:color w:val="auto"/>
          <w:sz w:val="28"/>
          <w:szCs w:val="28"/>
          <w:highlight w:val="none"/>
        </w:rPr>
      </w:pPr>
    </w:p>
    <w:p w14:paraId="52F921F7">
      <w:pPr>
        <w:jc w:val="center"/>
        <w:rPr>
          <w:rFonts w:eastAsia="黑体"/>
          <w:color w:val="auto"/>
          <w:sz w:val="20"/>
          <w:szCs w:val="20"/>
          <w:highlight w:val="none"/>
        </w:rPr>
      </w:pPr>
      <w:r>
        <w:rPr>
          <w:rFonts w:eastAsia="黑体"/>
          <w:color w:val="auto"/>
          <w:sz w:val="28"/>
          <w:szCs w:val="28"/>
          <w:highlight w:val="none"/>
        </w:rPr>
        <w:t>（项目名称）</w:t>
      </w:r>
    </w:p>
    <w:p w14:paraId="1CB3AF7F">
      <w:pPr>
        <w:jc w:val="center"/>
        <w:rPr>
          <w:rFonts w:eastAsia="黑体"/>
          <w:color w:val="auto"/>
          <w:sz w:val="20"/>
          <w:szCs w:val="20"/>
          <w:highlight w:val="none"/>
        </w:rPr>
      </w:pPr>
    </w:p>
    <w:p w14:paraId="7F67D925">
      <w:pPr>
        <w:rPr>
          <w:rFonts w:eastAsia="黑体"/>
          <w:color w:val="auto"/>
          <w:sz w:val="20"/>
          <w:szCs w:val="20"/>
          <w:highlight w:val="none"/>
        </w:rPr>
      </w:pPr>
    </w:p>
    <w:p w14:paraId="5AE9D7EA">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三</w:t>
      </w:r>
    </w:p>
    <w:p w14:paraId="4D9A83AD">
      <w:pPr>
        <w:jc w:val="center"/>
        <w:rPr>
          <w:rFonts w:eastAsia="黑体"/>
          <w:color w:val="auto"/>
          <w:sz w:val="44"/>
          <w:szCs w:val="44"/>
          <w:highlight w:val="none"/>
        </w:rPr>
      </w:pPr>
      <w:r>
        <w:rPr>
          <w:rFonts w:hint="eastAsia" w:eastAsia="黑体"/>
          <w:color w:val="auto"/>
          <w:sz w:val="44"/>
          <w:szCs w:val="44"/>
          <w:highlight w:val="none"/>
        </w:rPr>
        <w:t>（商务标文件）</w:t>
      </w:r>
    </w:p>
    <w:p w14:paraId="00AD4571">
      <w:pPr>
        <w:rPr>
          <w:rFonts w:eastAsia="黑体"/>
          <w:color w:val="auto"/>
          <w:sz w:val="28"/>
          <w:szCs w:val="28"/>
          <w:highlight w:val="none"/>
        </w:rPr>
      </w:pPr>
    </w:p>
    <w:p w14:paraId="03FF9373">
      <w:pPr>
        <w:rPr>
          <w:rFonts w:eastAsia="黑体"/>
          <w:color w:val="auto"/>
          <w:sz w:val="28"/>
          <w:szCs w:val="28"/>
          <w:highlight w:val="none"/>
        </w:rPr>
      </w:pPr>
    </w:p>
    <w:p w14:paraId="6F4198FD">
      <w:pPr>
        <w:rPr>
          <w:rFonts w:eastAsia="黑体"/>
          <w:color w:val="auto"/>
          <w:sz w:val="28"/>
          <w:szCs w:val="28"/>
          <w:highlight w:val="none"/>
        </w:rPr>
      </w:pPr>
    </w:p>
    <w:p w14:paraId="18D553B1">
      <w:pPr>
        <w:rPr>
          <w:rFonts w:eastAsia="黑体"/>
          <w:color w:val="auto"/>
          <w:sz w:val="28"/>
          <w:szCs w:val="28"/>
          <w:highlight w:val="none"/>
        </w:rPr>
      </w:pPr>
    </w:p>
    <w:p w14:paraId="0E5FE50F">
      <w:pPr>
        <w:rPr>
          <w:rFonts w:eastAsia="黑体"/>
          <w:color w:val="auto"/>
          <w:sz w:val="28"/>
          <w:szCs w:val="28"/>
          <w:highlight w:val="none"/>
        </w:rPr>
      </w:pPr>
    </w:p>
    <w:p w14:paraId="74AFA9E2">
      <w:pPr>
        <w:rPr>
          <w:rFonts w:eastAsia="黑体"/>
          <w:color w:val="auto"/>
          <w:sz w:val="28"/>
          <w:szCs w:val="28"/>
          <w:highlight w:val="none"/>
        </w:rPr>
      </w:pPr>
    </w:p>
    <w:p w14:paraId="078AB10D">
      <w:pPr>
        <w:rPr>
          <w:rFonts w:eastAsia="黑体"/>
          <w:color w:val="auto"/>
          <w:sz w:val="28"/>
          <w:szCs w:val="28"/>
          <w:highlight w:val="none"/>
        </w:rPr>
      </w:pPr>
    </w:p>
    <w:p w14:paraId="5C03182B">
      <w:pPr>
        <w:rPr>
          <w:rFonts w:eastAsia="黑体"/>
          <w:color w:val="auto"/>
          <w:sz w:val="28"/>
          <w:szCs w:val="28"/>
          <w:highlight w:val="none"/>
        </w:rPr>
      </w:pPr>
    </w:p>
    <w:p w14:paraId="50FB798D">
      <w:pPr>
        <w:rPr>
          <w:rFonts w:eastAsia="黑体"/>
          <w:color w:val="auto"/>
          <w:sz w:val="28"/>
          <w:szCs w:val="28"/>
          <w:highlight w:val="none"/>
        </w:rPr>
      </w:pPr>
    </w:p>
    <w:p w14:paraId="0682BFC9">
      <w:pPr>
        <w:rPr>
          <w:rFonts w:eastAsia="黑体"/>
          <w:color w:val="auto"/>
          <w:sz w:val="28"/>
          <w:szCs w:val="28"/>
          <w:highlight w:val="none"/>
        </w:rPr>
      </w:pPr>
    </w:p>
    <w:p w14:paraId="68117E32">
      <w:pPr>
        <w:rPr>
          <w:rFonts w:eastAsia="黑体"/>
          <w:color w:val="auto"/>
          <w:sz w:val="28"/>
          <w:szCs w:val="28"/>
          <w:highlight w:val="none"/>
        </w:rPr>
      </w:pPr>
    </w:p>
    <w:p w14:paraId="038F9E3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4CAB06D8">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350C1BB2">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0EDBB5CC">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239E86E0">
      <w:pPr>
        <w:spacing w:beforeLines="50" w:afterLines="50" w:line="440" w:lineRule="exact"/>
        <w:ind w:firstLine="562" w:firstLineChars="200"/>
        <w:jc w:val="center"/>
        <w:rPr>
          <w:rFonts w:ascii="宋体" w:hAnsi="宋体" w:cs="宋体"/>
          <w:b/>
          <w:color w:val="auto"/>
          <w:sz w:val="28"/>
          <w:szCs w:val="28"/>
          <w:highlight w:val="none"/>
        </w:rPr>
      </w:pPr>
      <w:r>
        <w:rPr>
          <w:rFonts w:hint="eastAsia" w:ascii="宋体" w:hAnsi="宋体" w:cs="宋体"/>
          <w:b/>
          <w:color w:val="auto"/>
          <w:sz w:val="28"/>
          <w:szCs w:val="28"/>
          <w:highlight w:val="none"/>
        </w:rPr>
        <w:t>目</w:t>
      </w:r>
      <w:r>
        <w:rPr>
          <w:rFonts w:hint="eastAsia" w:ascii="宋体" w:hAnsi="宋体" w:cs="宋体"/>
          <w:b/>
          <w:color w:val="auto"/>
          <w:sz w:val="28"/>
          <w:szCs w:val="28"/>
          <w:highlight w:val="none"/>
          <w:lang w:val="en-US" w:eastAsia="zh-CN"/>
        </w:rPr>
        <w:t xml:space="preserve">   </w:t>
      </w:r>
      <w:r>
        <w:rPr>
          <w:rFonts w:hint="eastAsia" w:ascii="宋体" w:hAnsi="宋体" w:cs="宋体"/>
          <w:b/>
          <w:color w:val="auto"/>
          <w:sz w:val="28"/>
          <w:szCs w:val="28"/>
          <w:highlight w:val="none"/>
        </w:rPr>
        <w:t>录</w:t>
      </w:r>
    </w:p>
    <w:p w14:paraId="4E33EC57">
      <w:pPr>
        <w:numPr>
          <w:ilvl w:val="0"/>
          <w:numId w:val="6"/>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179853A0">
      <w:pPr>
        <w:numPr>
          <w:ilvl w:val="0"/>
          <w:numId w:val="6"/>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cs="Times New Roman"/>
          <w:color w:val="auto"/>
          <w:szCs w:val="21"/>
          <w:highlight w:val="none"/>
          <w:lang w:val="en-US" w:eastAsia="zh-CN"/>
        </w:rPr>
        <w:t>分项报价清单；</w:t>
      </w:r>
    </w:p>
    <w:p w14:paraId="704909D0">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cs="Times New Roman"/>
          <w:color w:val="auto"/>
          <w:szCs w:val="21"/>
          <w:highlight w:val="none"/>
          <w:lang w:val="en-US" w:eastAsia="zh-CN"/>
        </w:rPr>
        <w:t>3</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D358DCD">
      <w:pPr>
        <w:jc w:val="center"/>
        <w:rPr>
          <w:rFonts w:ascii="宋体" w:hAnsi="宋体"/>
          <w:b/>
          <w:color w:val="auto"/>
          <w:sz w:val="32"/>
          <w:szCs w:val="32"/>
          <w:highlight w:val="none"/>
        </w:rPr>
      </w:pPr>
      <w:r>
        <w:rPr>
          <w:rFonts w:hint="eastAsia" w:ascii="宋体" w:hAnsi="宋体"/>
          <w:b/>
          <w:color w:val="auto"/>
          <w:sz w:val="32"/>
          <w:szCs w:val="32"/>
          <w:highlight w:val="none"/>
        </w:rPr>
        <w:t>（1）投 标 函</w:t>
      </w:r>
    </w:p>
    <w:bookmarkEnd w:id="7"/>
    <w:bookmarkEnd w:id="8"/>
    <w:bookmarkEnd w:id="9"/>
    <w:bookmarkEnd w:id="10"/>
    <w:bookmarkEnd w:id="11"/>
    <w:p w14:paraId="793ADD9A">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lang w:val="en-US"/>
        </w:rPr>
      </w:pPr>
      <w:bookmarkStart w:id="268" w:name="_Toc506107366"/>
      <w:bookmarkStart w:id="269" w:name="_Toc15058950"/>
      <w:bookmarkStart w:id="270" w:name="_Toc35424974"/>
      <w:bookmarkStart w:id="271" w:name="_Toc35425140"/>
      <w:bookmarkStart w:id="272" w:name="_Toc78803402"/>
      <w:r>
        <w:rPr>
          <w:rFonts w:hint="eastAsia" w:ascii="宋体" w:hAnsi="宋体" w:eastAsia="宋体" w:cs="宋体"/>
          <w:color w:val="auto"/>
          <w:kern w:val="0"/>
          <w:sz w:val="24"/>
          <w:szCs w:val="24"/>
          <w:highlight w:val="none"/>
          <w:u w:color="000000"/>
          <w:lang w:val="en-US" w:eastAsia="zh-CN" w:bidi="ar"/>
        </w:rPr>
        <w:t>致：</w:t>
      </w:r>
      <w:r>
        <w:rPr>
          <w:rFonts w:hint="eastAsia" w:ascii="宋体" w:hAnsi="宋体" w:eastAsia="宋体" w:cs="宋体"/>
          <w:color w:val="auto"/>
          <w:kern w:val="0"/>
          <w:sz w:val="24"/>
          <w:szCs w:val="24"/>
          <w:highlight w:val="none"/>
          <w:u w:val="single" w:color="000000"/>
          <w:lang w:val="en-US" w:eastAsia="zh-CN" w:bidi="ar"/>
        </w:rPr>
        <w:t xml:space="preserve">       (招标人)       </w:t>
      </w:r>
      <w:r>
        <w:rPr>
          <w:rFonts w:hint="eastAsia" w:ascii="宋体" w:hAnsi="宋体" w:eastAsia="宋体" w:cs="宋体"/>
          <w:color w:val="auto"/>
          <w:kern w:val="0"/>
          <w:sz w:val="24"/>
          <w:szCs w:val="24"/>
          <w:highlight w:val="none"/>
          <w:u w:color="000000"/>
          <w:lang w:val="en-US" w:eastAsia="zh-CN" w:bidi="ar"/>
        </w:rPr>
        <w:t xml:space="preserve"> </w:t>
      </w:r>
    </w:p>
    <w:p w14:paraId="78D725E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1.我们决定参加贵单位组织的“</w:t>
      </w:r>
      <w:r>
        <w:rPr>
          <w:rFonts w:hint="eastAsia" w:ascii="宋体" w:hAnsi="宋体" w:eastAsia="宋体" w:cs="宋体"/>
          <w:color w:val="auto"/>
          <w:kern w:val="0"/>
          <w:sz w:val="24"/>
          <w:szCs w:val="24"/>
          <w:highlight w:val="none"/>
          <w:u w:val="single" w:color="000000"/>
          <w:lang w:val="en-US" w:eastAsia="zh-CN" w:bidi="ar"/>
        </w:rPr>
        <w:t xml:space="preserve"> （项目名称）    </w:t>
      </w:r>
      <w:r>
        <w:rPr>
          <w:rFonts w:hint="eastAsia" w:ascii="宋体" w:hAnsi="宋体" w:eastAsia="宋体" w:cs="宋体"/>
          <w:color w:val="auto"/>
          <w:kern w:val="0"/>
          <w:sz w:val="24"/>
          <w:szCs w:val="24"/>
          <w:highlight w:val="none"/>
          <w:u w:color="000000"/>
          <w:lang w:val="en-US" w:eastAsia="zh-CN" w:bidi="ar"/>
        </w:rPr>
        <w:t xml:space="preserve">”的招标。我方授权 </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(姓名和职务)代表我方</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（投标单位的名称）全权处理本项目投标的有关事宜。</w:t>
      </w:r>
    </w:p>
    <w:p w14:paraId="3F4F18A1">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2.我方愿意按照招标文件规定的各项要求，向招标人提供本项目的</w:t>
      </w:r>
      <w:r>
        <w:rPr>
          <w:rFonts w:hint="eastAsia" w:ascii="宋体" w:hAnsi="宋体" w:cs="宋体"/>
          <w:color w:val="auto"/>
          <w:kern w:val="0"/>
          <w:sz w:val="24"/>
          <w:szCs w:val="24"/>
          <w:highlight w:val="none"/>
          <w:u w:color="000000"/>
          <w:lang w:val="en-US" w:eastAsia="zh-CN" w:bidi="ar"/>
        </w:rPr>
        <w:t>设计施工一体化</w:t>
      </w:r>
      <w:r>
        <w:rPr>
          <w:rFonts w:hint="eastAsia" w:ascii="宋体" w:hAnsi="宋体" w:eastAsia="宋体" w:cs="宋体"/>
          <w:color w:val="auto"/>
          <w:kern w:val="0"/>
          <w:sz w:val="24"/>
          <w:szCs w:val="24"/>
          <w:highlight w:val="none"/>
          <w:u w:color="000000"/>
          <w:lang w:val="en-US" w:eastAsia="zh-CN" w:bidi="ar"/>
        </w:rPr>
        <w:t>，投标报价为人民币（大写）</w:t>
      </w:r>
      <w:r>
        <w:rPr>
          <w:rFonts w:hint="eastAsia" w:ascii="宋体" w:hAnsi="宋体" w:eastAsia="宋体" w:cs="宋体"/>
          <w:color w:val="auto"/>
          <w:kern w:val="0"/>
          <w:sz w:val="24"/>
          <w:szCs w:val="24"/>
          <w:highlight w:val="none"/>
          <w:u w:val="single" w:color="000000"/>
          <w:lang w:val="en-US" w:eastAsia="zh-CN" w:bidi="ar"/>
        </w:rPr>
        <w:t xml:space="preserve">             （小写）         元</w:t>
      </w:r>
      <w:r>
        <w:rPr>
          <w:rFonts w:hint="eastAsia" w:ascii="宋体" w:hAnsi="宋体" w:eastAsia="宋体" w:cs="宋体"/>
          <w:color w:val="auto"/>
          <w:kern w:val="0"/>
          <w:sz w:val="24"/>
          <w:szCs w:val="24"/>
          <w:highlight w:val="none"/>
          <w:u w:color="000000"/>
          <w:lang w:val="en-US" w:eastAsia="zh-CN" w:bidi="ar"/>
        </w:rPr>
        <w:t>。</w:t>
      </w:r>
    </w:p>
    <w:p w14:paraId="31A3CD0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3.一旦我方成为合同签字人，我方将严格履行合同规定的责任和义务。</w:t>
      </w:r>
    </w:p>
    <w:p w14:paraId="7D5229C3">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4.投标有效期：为</w:t>
      </w:r>
      <w:r>
        <w:rPr>
          <w:rFonts w:hint="eastAsia" w:ascii="宋体" w:hAnsi="宋体" w:eastAsia="宋体" w:cs="宋体"/>
          <w:color w:val="auto"/>
          <w:kern w:val="0"/>
          <w:sz w:val="24"/>
          <w:szCs w:val="24"/>
          <w:highlight w:val="none"/>
          <w:u w:val="single" w:color="auto"/>
          <w:lang w:val="en-US" w:eastAsia="zh-CN" w:bidi="ar"/>
        </w:rPr>
        <w:t xml:space="preserve"> </w:t>
      </w:r>
      <w:r>
        <w:rPr>
          <w:rFonts w:hint="eastAsia" w:ascii="宋体" w:hAnsi="宋体" w:cs="宋体"/>
          <w:color w:val="auto"/>
          <w:kern w:val="0"/>
          <w:sz w:val="24"/>
          <w:szCs w:val="24"/>
          <w:highlight w:val="none"/>
          <w:u w:val="single" w:color="auto"/>
          <w:lang w:val="en-US" w:eastAsia="zh-CN" w:bidi="ar"/>
        </w:rPr>
        <w:t>6</w:t>
      </w:r>
      <w:r>
        <w:rPr>
          <w:rFonts w:hint="eastAsia" w:ascii="宋体" w:hAnsi="宋体" w:eastAsia="宋体" w:cs="宋体"/>
          <w:color w:val="auto"/>
          <w:kern w:val="0"/>
          <w:sz w:val="24"/>
          <w:szCs w:val="24"/>
          <w:highlight w:val="none"/>
          <w:u w:val="single" w:color="auto"/>
          <w:lang w:val="en-US" w:eastAsia="zh-CN" w:bidi="ar"/>
        </w:rPr>
        <w:t xml:space="preserve">0 </w:t>
      </w:r>
      <w:r>
        <w:rPr>
          <w:rFonts w:hint="eastAsia" w:ascii="宋体" w:hAnsi="宋体" w:eastAsia="宋体" w:cs="宋体"/>
          <w:color w:val="auto"/>
          <w:kern w:val="0"/>
          <w:sz w:val="24"/>
          <w:szCs w:val="24"/>
          <w:highlight w:val="none"/>
          <w:u w:color="000000"/>
          <w:lang w:val="en-US" w:eastAsia="zh-CN" w:bidi="ar"/>
        </w:rPr>
        <w:t>日历天（从投标截止之日算起）。</w:t>
      </w:r>
    </w:p>
    <w:p w14:paraId="7407AE6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如果我方中标我方将按照招标文件的规定提交履约担保。项目验收合格后，方</w:t>
      </w:r>
      <w:r>
        <w:rPr>
          <w:rFonts w:hint="eastAsia" w:ascii="宋体" w:hAnsi="宋体" w:eastAsia="宋体" w:cs="宋体"/>
          <w:color w:val="auto"/>
          <w:kern w:val="0"/>
          <w:sz w:val="24"/>
          <w:szCs w:val="24"/>
          <w:highlight w:val="none"/>
          <w:u w:color="000000"/>
          <w:lang w:val="en-US" w:eastAsia="zh-CN" w:bidi="ar"/>
        </w:rPr>
        <w:t>可退还。</w:t>
      </w:r>
    </w:p>
    <w:p w14:paraId="3F2B18F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6.我方愿意提供可能另外要求的、与投标有关的文件资料，并保证我方已提供和将要提供的文件是真实的、准确的。</w:t>
      </w:r>
    </w:p>
    <w:p w14:paraId="6C7E71F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7.我单位提供如下通讯地址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，电子邮箱（地址）：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1582155F">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p>
    <w:p w14:paraId="12C4D7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4BDA05C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20EBE8C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4C120B6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p w14:paraId="4E52222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联系电话：</w:t>
      </w:r>
      <w:r>
        <w:rPr>
          <w:rFonts w:hint="eastAsia" w:ascii="宋体" w:hAnsi="宋体" w:eastAsia="宋体" w:cs="宋体"/>
          <w:color w:val="auto"/>
          <w:kern w:val="0"/>
          <w:sz w:val="24"/>
          <w:szCs w:val="24"/>
          <w:highlight w:val="none"/>
          <w:u w:val="single" w:color="000000"/>
          <w:lang w:val="en-US" w:eastAsia="zh-CN" w:bidi="ar"/>
        </w:rPr>
        <w:t xml:space="preserve">                   </w:t>
      </w:r>
    </w:p>
    <w:p w14:paraId="1189D427">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传   真：</w:t>
      </w:r>
      <w:r>
        <w:rPr>
          <w:rFonts w:hint="eastAsia" w:ascii="宋体" w:hAnsi="宋体" w:eastAsia="宋体" w:cs="宋体"/>
          <w:color w:val="auto"/>
          <w:kern w:val="0"/>
          <w:sz w:val="24"/>
          <w:szCs w:val="24"/>
          <w:highlight w:val="none"/>
          <w:u w:val="single" w:color="000000"/>
          <w:lang w:val="en-US" w:eastAsia="zh-CN" w:bidi="ar"/>
        </w:rPr>
        <w:t xml:space="preserve">                   </w:t>
      </w:r>
    </w:p>
    <w:bookmarkEnd w:id="268"/>
    <w:bookmarkEnd w:id="269"/>
    <w:bookmarkEnd w:id="270"/>
    <w:bookmarkEnd w:id="271"/>
    <w:p w14:paraId="1D237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28"/>
          <w:szCs w:val="28"/>
          <w:highlight w:val="none"/>
          <w:lang w:eastAsia="zh-CN"/>
        </w:rPr>
      </w:pPr>
    </w:p>
    <w:p w14:paraId="24B253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28"/>
          <w:szCs w:val="28"/>
          <w:highlight w:val="none"/>
          <w:lang w:eastAsia="zh-CN"/>
        </w:rPr>
      </w:pPr>
    </w:p>
    <w:p w14:paraId="3EA83AD1">
      <w:pPr>
        <w:rPr>
          <w:rFonts w:hint="eastAsia" w:ascii="Times New Roman" w:hAnsi="Times New Roman" w:eastAsia="宋体" w:cs="Times New Roman"/>
          <w:b/>
          <w:color w:val="auto"/>
          <w:sz w:val="28"/>
          <w:szCs w:val="28"/>
          <w:highlight w:val="none"/>
          <w:lang w:eastAsia="zh-CN"/>
        </w:rPr>
      </w:pPr>
      <w:r>
        <w:rPr>
          <w:rFonts w:hint="eastAsia" w:ascii="Times New Roman" w:hAnsi="Times New Roman" w:eastAsia="宋体" w:cs="Times New Roman"/>
          <w:b/>
          <w:color w:val="auto"/>
          <w:sz w:val="28"/>
          <w:szCs w:val="28"/>
          <w:highlight w:val="none"/>
          <w:lang w:eastAsia="zh-CN"/>
        </w:rPr>
        <w:br w:type="page"/>
      </w:r>
    </w:p>
    <w:p w14:paraId="6E26D2EF">
      <w:pPr>
        <w:jc w:val="center"/>
        <w:rPr>
          <w:rFonts w:hint="eastAsia" w:ascii="宋体" w:hAnsi="宋体" w:eastAsia="宋体" w:cs="Times New Roman"/>
          <w:b/>
          <w:color w:val="auto"/>
          <w:sz w:val="32"/>
          <w:szCs w:val="32"/>
          <w:highlight w:val="none"/>
          <w:lang w:val="en-US" w:eastAsia="zh-CN"/>
        </w:rPr>
      </w:pPr>
      <w:r>
        <w:rPr>
          <w:rFonts w:hint="eastAsia" w:ascii="宋体" w:hAnsi="宋体" w:eastAsia="宋体" w:cs="Times New Roman"/>
          <w:b/>
          <w:color w:val="auto"/>
          <w:sz w:val="32"/>
          <w:szCs w:val="32"/>
          <w:highlight w:val="none"/>
          <w:lang w:val="en-US" w:eastAsia="zh-CN"/>
        </w:rPr>
        <w:t>（2）分项报价清单</w:t>
      </w:r>
    </w:p>
    <w:tbl>
      <w:tblPr>
        <w:tblStyle w:val="48"/>
        <w:tblW w:w="94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769"/>
        <w:gridCol w:w="1575"/>
        <w:gridCol w:w="1395"/>
        <w:gridCol w:w="1143"/>
        <w:gridCol w:w="945"/>
        <w:gridCol w:w="1010"/>
        <w:gridCol w:w="930"/>
      </w:tblGrid>
      <w:tr w14:paraId="4C99E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77121C">
            <w:pPr>
              <w:keepNext w:val="0"/>
              <w:keepLines w:val="0"/>
              <w:widowControl/>
              <w:suppressLineNumbers w:val="0"/>
              <w:jc w:val="left"/>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（1）施工制作类</w:t>
            </w:r>
          </w:p>
        </w:tc>
      </w:tr>
      <w:tr w14:paraId="4DC11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E36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3DA4">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8E8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项目名称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635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制作要求</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33E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型号规格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6AF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757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单价/元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989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合价/元</w:t>
            </w:r>
          </w:p>
        </w:tc>
      </w:tr>
      <w:tr w14:paraId="56B5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F8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E5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具体装饰位置，如站厅全域、进站通道、立柱、候车层等</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C3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具体采用的装饰名称，如艺术载体、装饰长廊、导视解说等</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D3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详细描述结构设计、使用材质、材质标准及尺寸、施工工艺、风格细节等</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96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该装饰项目的具体尺寸与规格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842B">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F511">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2BF4">
            <w:pPr>
              <w:jc w:val="center"/>
              <w:rPr>
                <w:rFonts w:hint="eastAsia" w:ascii="宋体" w:hAnsi="宋体" w:eastAsia="宋体" w:cs="宋体"/>
                <w:i w:val="0"/>
                <w:iCs w:val="0"/>
                <w:color w:val="auto"/>
                <w:sz w:val="22"/>
                <w:szCs w:val="22"/>
                <w:highlight w:val="none"/>
                <w:u w:val="none"/>
              </w:rPr>
            </w:pPr>
          </w:p>
        </w:tc>
      </w:tr>
      <w:tr w14:paraId="23F0A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34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BD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8302">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97C2">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6981">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1943">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32B7">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CEDB">
            <w:pPr>
              <w:jc w:val="center"/>
              <w:rPr>
                <w:rFonts w:hint="eastAsia" w:ascii="宋体" w:hAnsi="宋体" w:eastAsia="宋体" w:cs="宋体"/>
                <w:i w:val="0"/>
                <w:iCs w:val="0"/>
                <w:color w:val="auto"/>
                <w:sz w:val="22"/>
                <w:szCs w:val="22"/>
                <w:highlight w:val="none"/>
                <w:u w:val="none"/>
              </w:rPr>
            </w:pPr>
          </w:p>
        </w:tc>
      </w:tr>
      <w:tr w14:paraId="1E8E2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24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8A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5D53">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1C0C">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502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3A89">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5B0B">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EF0E">
            <w:pPr>
              <w:jc w:val="center"/>
              <w:rPr>
                <w:rFonts w:hint="eastAsia" w:ascii="宋体" w:hAnsi="宋体" w:eastAsia="宋体" w:cs="宋体"/>
                <w:i w:val="0"/>
                <w:iCs w:val="0"/>
                <w:color w:val="auto"/>
                <w:sz w:val="22"/>
                <w:szCs w:val="22"/>
                <w:highlight w:val="none"/>
                <w:u w:val="none"/>
              </w:rPr>
            </w:pPr>
          </w:p>
        </w:tc>
      </w:tr>
      <w:tr w14:paraId="6547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81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7C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413C">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4100">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ACD7">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4BB11">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C655">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B2C3">
            <w:pPr>
              <w:jc w:val="center"/>
              <w:rPr>
                <w:rFonts w:hint="eastAsia" w:ascii="宋体" w:hAnsi="宋体" w:eastAsia="宋体" w:cs="宋体"/>
                <w:i w:val="0"/>
                <w:iCs w:val="0"/>
                <w:color w:val="auto"/>
                <w:sz w:val="22"/>
                <w:szCs w:val="22"/>
                <w:highlight w:val="none"/>
                <w:u w:val="none"/>
              </w:rPr>
            </w:pPr>
          </w:p>
        </w:tc>
      </w:tr>
      <w:tr w14:paraId="7EA30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425" w:type="dxa"/>
            <w:gridSpan w:val="8"/>
            <w:tcBorders>
              <w:top w:val="single" w:color="000000" w:sz="4" w:space="0"/>
              <w:left w:val="single" w:color="000000" w:sz="4" w:space="0"/>
              <w:bottom w:val="single" w:color="000000" w:sz="4" w:space="0"/>
              <w:right w:val="nil"/>
            </w:tcBorders>
            <w:shd w:val="clear" w:color="auto" w:fill="auto"/>
            <w:vAlign w:val="center"/>
          </w:tcPr>
          <w:p w14:paraId="153506FD">
            <w:pPr>
              <w:keepNext w:val="0"/>
              <w:keepLines w:val="0"/>
              <w:widowControl/>
              <w:suppressLineNumbers w:val="0"/>
              <w:jc w:val="left"/>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（2）电力照明类</w:t>
            </w:r>
          </w:p>
        </w:tc>
      </w:tr>
      <w:tr w14:paraId="5E99A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865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C62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9FE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项目名称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C57C">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制作要求</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F03E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型号规格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C93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9F0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单价/元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B16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合价/元</w:t>
            </w:r>
          </w:p>
        </w:tc>
      </w:tr>
      <w:tr w14:paraId="4A303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0C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0A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电力设备使用区域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CB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具体设备名称（如基础氛围照明、重点造型补光、控制系统、配电箱等）</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54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包括设备款式、具体参数、点位布局、光影效果等</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83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该设备的具体尺寸与规格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42E2">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7AAB">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1B05">
            <w:pPr>
              <w:jc w:val="center"/>
              <w:rPr>
                <w:rFonts w:hint="eastAsia" w:ascii="宋体" w:hAnsi="宋体" w:eastAsia="宋体" w:cs="宋体"/>
                <w:i w:val="0"/>
                <w:iCs w:val="0"/>
                <w:color w:val="auto"/>
                <w:sz w:val="22"/>
                <w:szCs w:val="22"/>
                <w:highlight w:val="none"/>
                <w:u w:val="none"/>
              </w:rPr>
            </w:pPr>
          </w:p>
        </w:tc>
      </w:tr>
      <w:tr w14:paraId="2758C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F7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BC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90B5">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AF5E">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158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1EE0">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714A">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7C24">
            <w:pPr>
              <w:jc w:val="center"/>
              <w:rPr>
                <w:rFonts w:hint="eastAsia" w:ascii="宋体" w:hAnsi="宋体" w:eastAsia="宋体" w:cs="宋体"/>
                <w:i w:val="0"/>
                <w:iCs w:val="0"/>
                <w:color w:val="auto"/>
                <w:sz w:val="22"/>
                <w:szCs w:val="22"/>
                <w:highlight w:val="none"/>
                <w:u w:val="none"/>
              </w:rPr>
            </w:pPr>
          </w:p>
        </w:tc>
      </w:tr>
      <w:tr w14:paraId="10D4A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9C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60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51DF">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4378">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3FD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7A3D">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20B3">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0BC7">
            <w:pPr>
              <w:jc w:val="center"/>
              <w:rPr>
                <w:rFonts w:hint="eastAsia" w:ascii="宋体" w:hAnsi="宋体" w:eastAsia="宋体" w:cs="宋体"/>
                <w:i w:val="0"/>
                <w:iCs w:val="0"/>
                <w:color w:val="auto"/>
                <w:sz w:val="22"/>
                <w:szCs w:val="22"/>
                <w:highlight w:val="none"/>
                <w:u w:val="none"/>
              </w:rPr>
            </w:pPr>
          </w:p>
        </w:tc>
      </w:tr>
      <w:tr w14:paraId="2E859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1D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17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99A3">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52FE">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4779">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E330">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0B2E">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A172">
            <w:pPr>
              <w:jc w:val="center"/>
              <w:rPr>
                <w:rFonts w:hint="eastAsia" w:ascii="宋体" w:hAnsi="宋体" w:eastAsia="宋体" w:cs="宋体"/>
                <w:i w:val="0"/>
                <w:iCs w:val="0"/>
                <w:color w:val="auto"/>
                <w:sz w:val="22"/>
                <w:szCs w:val="22"/>
                <w:highlight w:val="none"/>
                <w:u w:val="none"/>
              </w:rPr>
            </w:pPr>
          </w:p>
        </w:tc>
      </w:tr>
      <w:tr w14:paraId="2D2C1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8160F9">
            <w:pPr>
              <w:keepNext w:val="0"/>
              <w:keepLines w:val="0"/>
              <w:widowControl/>
              <w:suppressLineNumbers w:val="0"/>
              <w:jc w:val="left"/>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总计（元）：</w:t>
            </w:r>
          </w:p>
        </w:tc>
      </w:tr>
    </w:tbl>
    <w:p w14:paraId="6B85566B">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注：1.投标报价清单须包含采购需求的全部内容，投标人可在满足采购需求的基础上进行优化。投标人根据其设计方案和施工方案自行列项、算量、组价，清单项目须完整覆盖采购需求载明的所有内容，漏项、少算工程量、报价等所有风险由投标人自行承担，中标后不再调整合同总价。</w:t>
      </w:r>
    </w:p>
    <w:p w14:paraId="20016B2E">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2.投标报价包含完成本次招标范围内的设计、施工等所需的全部人员费用（如人员工资、保险、</w:t>
      </w:r>
      <w:r>
        <w:rPr>
          <w:rFonts w:hint="eastAsia" w:ascii="宋体" w:hAnsi="宋体" w:eastAsia="宋体" w:cs="宋体"/>
          <w:color w:val="auto"/>
          <w:kern w:val="0"/>
          <w:sz w:val="24"/>
          <w:szCs w:val="24"/>
          <w:highlight w:val="none"/>
          <w:u w:color="000000"/>
          <w:lang w:val="en-US" w:eastAsia="zh-CN" w:bidi="ar"/>
        </w:rPr>
        <w:t>加班、差旅等一切费用）、设备费用、材料费用、机械费、报告编制费、专家评审费、招标代理费、会务费、管理费、利润及完成本项目服务所需的所有的费用，招标人不再另行支付。</w:t>
      </w:r>
    </w:p>
    <w:p w14:paraId="2EC1D7B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default" w:ascii="宋体" w:hAnsi="宋体" w:eastAsia="宋体" w:cs="Times New Roman"/>
          <w:b/>
          <w:color w:val="auto"/>
          <w:sz w:val="32"/>
          <w:szCs w:val="32"/>
          <w:highlight w:val="none"/>
          <w:lang w:val="en-US" w:eastAsia="zh-CN"/>
        </w:rPr>
      </w:pPr>
      <w:r>
        <w:rPr>
          <w:rFonts w:hint="eastAsia" w:ascii="宋体" w:hAnsi="宋体" w:eastAsia="宋体" w:cs="宋体"/>
          <w:color w:val="auto"/>
          <w:kern w:val="0"/>
          <w:sz w:val="24"/>
          <w:szCs w:val="24"/>
          <w:highlight w:val="yellow"/>
          <w:u w:color="000000"/>
          <w:lang w:val="en-US" w:eastAsia="zh-CN" w:bidi="ar"/>
        </w:rPr>
        <w:t>3.中标价为不含税价格，过程支付以及结算时，中标人应按国家相关规定缴纳税金，税金按照实际纳入过程支付以及结算。</w:t>
      </w:r>
      <w:bookmarkStart w:id="273" w:name="_GoBack"/>
      <w:bookmarkEnd w:id="273"/>
    </w:p>
    <w:p w14:paraId="7A0F128F">
      <w:pPr>
        <w:numPr>
          <w:ilvl w:val="0"/>
          <w:numId w:val="0"/>
        </w:numPr>
        <w:jc w:val="both"/>
        <w:rPr>
          <w:rFonts w:hint="eastAsia" w:ascii="宋体" w:hAnsi="宋体" w:eastAsia="宋体" w:cs="Times New Roman"/>
          <w:b/>
          <w:color w:val="auto"/>
          <w:sz w:val="32"/>
          <w:szCs w:val="32"/>
          <w:highlight w:val="none"/>
          <w:lang w:val="en-US" w:eastAsia="zh-CN"/>
        </w:rPr>
      </w:pPr>
    </w:p>
    <w:p w14:paraId="6CB850B0">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5067EBF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3F3593B5">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0C607E65">
      <w:pPr>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br w:type="page"/>
      </w:r>
    </w:p>
    <w:p w14:paraId="172B3F58">
      <w:pPr>
        <w:pStyle w:val="45"/>
        <w:spacing w:beforeLines="50" w:afterLines="50" w:line="440" w:lineRule="exact"/>
        <w:rPr>
          <w:bCs/>
          <w:color w:val="auto"/>
          <w:szCs w:val="32"/>
          <w:highlight w:val="none"/>
        </w:rPr>
      </w:pPr>
      <w:r>
        <w:rPr>
          <w:rFonts w:hint="eastAsia"/>
          <w:bCs/>
          <w:color w:val="auto"/>
          <w:szCs w:val="32"/>
          <w:highlight w:val="none"/>
        </w:rPr>
        <w:t>第</w:t>
      </w:r>
      <w:r>
        <w:rPr>
          <w:rFonts w:hint="eastAsia"/>
          <w:bCs/>
          <w:color w:val="auto"/>
          <w:szCs w:val="32"/>
          <w:highlight w:val="none"/>
          <w:lang w:val="en-US" w:eastAsia="zh-CN"/>
        </w:rPr>
        <w:t>八</w:t>
      </w:r>
      <w:r>
        <w:rPr>
          <w:rFonts w:hint="eastAsia"/>
          <w:bCs/>
          <w:color w:val="auto"/>
          <w:szCs w:val="32"/>
          <w:highlight w:val="none"/>
        </w:rPr>
        <w:t>章  招标单位、招标代理机构对本招标文件的确认</w:t>
      </w:r>
      <w:bookmarkEnd w:id="272"/>
    </w:p>
    <w:p w14:paraId="7D391125">
      <w:pPr>
        <w:pStyle w:val="2"/>
        <w:rPr>
          <w:color w:val="auto"/>
          <w:highlight w:val="none"/>
        </w:rPr>
      </w:pPr>
    </w:p>
    <w:tbl>
      <w:tblPr>
        <w:tblStyle w:val="48"/>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color w:val="auto"/>
                <w:sz w:val="30"/>
                <w:highlight w:val="none"/>
              </w:rPr>
            </w:pPr>
          </w:p>
          <w:p w14:paraId="3CB446EA">
            <w:pPr>
              <w:wordWrap w:val="0"/>
              <w:spacing w:line="560" w:lineRule="exact"/>
              <w:ind w:firstLine="560" w:firstLineChars="200"/>
              <w:rPr>
                <w:color w:val="auto"/>
                <w:sz w:val="28"/>
                <w:szCs w:val="28"/>
                <w:highlight w:val="none"/>
              </w:rPr>
            </w:pPr>
            <w:r>
              <w:rPr>
                <w:rFonts w:hint="eastAsia"/>
                <w:color w:val="auto"/>
                <w:sz w:val="28"/>
                <w:szCs w:val="28"/>
                <w:highlight w:val="none"/>
              </w:rPr>
              <w:t>我单位对</w:t>
            </w:r>
            <w:r>
              <w:rPr>
                <w:rFonts w:hint="eastAsia"/>
                <w:color w:val="auto"/>
                <w:sz w:val="28"/>
                <w:szCs w:val="28"/>
                <w:highlight w:val="none"/>
                <w:u w:val="single"/>
              </w:rPr>
              <w:t xml:space="preserve"> </w:t>
            </w:r>
            <w:r>
              <w:rPr>
                <w:rFonts w:hint="eastAsia"/>
                <w:color w:val="auto"/>
                <w:sz w:val="28"/>
                <w:szCs w:val="28"/>
                <w:highlight w:val="none"/>
                <w:u w:val="single"/>
                <w:lang w:eastAsia="zh-CN"/>
              </w:rPr>
              <w:t>滁州至南京城际铁路（滁州段）多站点廉洁主题设计施工一体化项目</w:t>
            </w:r>
            <w:r>
              <w:rPr>
                <w:rFonts w:hint="eastAsia"/>
                <w:color w:val="auto"/>
                <w:sz w:val="28"/>
                <w:szCs w:val="28"/>
                <w:highlight w:val="none"/>
                <w:u w:val="single"/>
              </w:rPr>
              <w:t xml:space="preserve"> </w:t>
            </w:r>
            <w:r>
              <w:rPr>
                <w:rFonts w:hint="eastAsia"/>
                <w:color w:val="auto"/>
                <w:sz w:val="28"/>
                <w:szCs w:val="28"/>
                <w:highlight w:val="none"/>
              </w:rPr>
              <w:t>的招标文件进行确认。</w:t>
            </w:r>
          </w:p>
          <w:p w14:paraId="7EF3D570">
            <w:pPr>
              <w:widowControl/>
              <w:spacing w:line="72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招标人：</w:t>
            </w:r>
            <w:r>
              <w:rPr>
                <w:rFonts w:hint="eastAsia" w:ascii="宋体" w:hAnsi="宋体" w:eastAsia="宋体" w:cs="宋体"/>
                <w:color w:val="auto"/>
                <w:sz w:val="28"/>
                <w:szCs w:val="28"/>
                <w:highlight w:val="none"/>
                <w:u w:color="000000"/>
                <w:lang w:eastAsia="zh-CN" w:bidi="ar"/>
              </w:rPr>
              <w:t>滁州市滁宁城际铁路开发建设有限公司</w:t>
            </w:r>
            <w:r>
              <w:rPr>
                <w:rFonts w:hint="eastAsia" w:ascii="宋体" w:hAnsi="宋体" w:eastAsia="宋体" w:cs="宋体"/>
                <w:color w:val="auto"/>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联系人：</w:t>
            </w:r>
            <w:r>
              <w:rPr>
                <w:rFonts w:hint="eastAsia" w:ascii="宋体" w:hAnsi="宋体" w:eastAsia="宋体" w:cs="宋体"/>
                <w:color w:val="auto"/>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联系电话：</w:t>
            </w:r>
            <w:r>
              <w:rPr>
                <w:rFonts w:hint="eastAsia" w:ascii="宋体" w:hAnsi="宋体" w:eastAsia="宋体" w:cs="宋体"/>
                <w:color w:val="auto"/>
                <w:sz w:val="28"/>
                <w:szCs w:val="28"/>
                <w:highlight w:val="none"/>
                <w:u w:color="000000"/>
                <w:lang w:eastAsia="zh-CN" w:bidi="ar"/>
              </w:rPr>
              <w:t>13339207910</w:t>
            </w:r>
          </w:p>
          <w:p w14:paraId="01C406FE">
            <w:pPr>
              <w:wordWrap w:val="0"/>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color w:val="auto"/>
                <w:sz w:val="28"/>
                <w:szCs w:val="28"/>
                <w:highlight w:val="none"/>
              </w:rPr>
            </w:pPr>
          </w:p>
          <w:p w14:paraId="3879E6FD">
            <w:pPr>
              <w:wordWrap w:val="0"/>
              <w:spacing w:line="560" w:lineRule="exact"/>
              <w:ind w:firstLine="560" w:firstLineChars="200"/>
              <w:rPr>
                <w:rFonts w:ascii="宋体" w:hAnsi="宋体"/>
                <w:color w:val="auto"/>
                <w:sz w:val="28"/>
                <w:szCs w:val="28"/>
                <w:highlight w:val="none"/>
              </w:rPr>
            </w:pPr>
          </w:p>
          <w:p w14:paraId="6BD2A618">
            <w:pPr>
              <w:wordWrap w:val="0"/>
              <w:spacing w:line="560" w:lineRule="exact"/>
              <w:ind w:firstLine="5740" w:firstLineChars="2050"/>
              <w:rPr>
                <w:rFonts w:ascii="宋体" w:hAnsi="宋体"/>
                <w:color w:val="auto"/>
                <w:sz w:val="28"/>
                <w:szCs w:val="28"/>
                <w:highlight w:val="none"/>
              </w:rPr>
            </w:pPr>
            <w:r>
              <w:rPr>
                <w:rFonts w:hint="eastAsia" w:ascii="宋体" w:hAnsi="宋体"/>
                <w:color w:val="auto"/>
                <w:sz w:val="28"/>
                <w:szCs w:val="28"/>
                <w:highlight w:val="none"/>
              </w:rPr>
              <w:t>（单位盖章）</w:t>
            </w:r>
          </w:p>
          <w:p w14:paraId="0DB51C41">
            <w:pPr>
              <w:spacing w:line="560" w:lineRule="exact"/>
              <w:ind w:firstLine="5880" w:firstLineChars="2100"/>
              <w:rPr>
                <w:rFonts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7</w:t>
            </w:r>
            <w:r>
              <w:rPr>
                <w:rFonts w:hint="eastAsia" w:ascii="宋体" w:hAnsi="宋体"/>
                <w:color w:val="auto"/>
                <w:sz w:val="28"/>
                <w:szCs w:val="28"/>
                <w:highlight w:val="none"/>
              </w:rPr>
              <w:t>月</w:t>
            </w:r>
          </w:p>
          <w:p w14:paraId="72A7FF77">
            <w:pPr>
              <w:pStyle w:val="16"/>
              <w:ind w:firstLine="420"/>
              <w:rPr>
                <w:color w:val="auto"/>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color w:val="auto"/>
                <w:sz w:val="28"/>
                <w:szCs w:val="28"/>
                <w:highlight w:val="none"/>
              </w:rPr>
            </w:pPr>
          </w:p>
          <w:p w14:paraId="297A006E">
            <w:pPr>
              <w:spacing w:line="560" w:lineRule="exact"/>
              <w:ind w:firstLine="560" w:firstLineChars="200"/>
              <w:rPr>
                <w:rFonts w:ascii="宋体" w:hAnsi="宋体" w:cs="宋体"/>
                <w:color w:val="auto"/>
                <w:sz w:val="28"/>
                <w:szCs w:val="28"/>
                <w:highlight w:val="none"/>
                <w:u w:val="single"/>
              </w:rPr>
            </w:pPr>
            <w:r>
              <w:rPr>
                <w:rFonts w:hint="eastAsia" w:ascii="宋体" w:hAnsi="宋体" w:cs="宋体"/>
                <w:color w:val="auto"/>
                <w:sz w:val="28"/>
                <w:szCs w:val="28"/>
                <w:highlight w:val="none"/>
              </w:rPr>
              <w:t>招标代理机构：</w:t>
            </w:r>
            <w:r>
              <w:rPr>
                <w:rFonts w:hint="eastAsia"/>
                <w:color w:val="auto"/>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color w:val="auto"/>
                <w:sz w:val="28"/>
                <w:szCs w:val="28"/>
                <w:highlight w:val="none"/>
                <w:u w:val="single"/>
                <w:lang w:val="en-US" w:eastAsia="zh-CN"/>
              </w:rPr>
            </w:pPr>
            <w:r>
              <w:rPr>
                <w:rFonts w:hint="eastAsia" w:ascii="宋体" w:hAnsi="宋体" w:cs="宋体"/>
                <w:color w:val="auto"/>
                <w:sz w:val="28"/>
                <w:szCs w:val="28"/>
                <w:highlight w:val="none"/>
              </w:rPr>
              <w:t>联 系 人：</w:t>
            </w:r>
            <w:r>
              <w:rPr>
                <w:rFonts w:hint="eastAsia" w:ascii="宋体" w:hAnsi="宋体" w:cs="宋体"/>
                <w:color w:val="auto"/>
                <w:sz w:val="28"/>
                <w:szCs w:val="28"/>
                <w:highlight w:val="none"/>
                <w:lang w:val="en-US" w:eastAsia="zh-CN"/>
              </w:rPr>
              <w:t>周蓓蕾</w:t>
            </w:r>
          </w:p>
          <w:p w14:paraId="47E8E678">
            <w:pPr>
              <w:spacing w:line="56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联系电话：0550-351951</w:t>
            </w:r>
            <w:r>
              <w:rPr>
                <w:rFonts w:hint="eastAsia" w:ascii="宋体" w:hAnsi="宋体" w:cs="宋体"/>
                <w:color w:val="auto"/>
                <w:sz w:val="28"/>
                <w:szCs w:val="28"/>
                <w:highlight w:val="none"/>
                <w:lang w:val="en-US" w:eastAsia="zh-CN"/>
              </w:rPr>
              <w:t>9</w:t>
            </w:r>
            <w:r>
              <w:rPr>
                <w:rFonts w:hint="eastAsia" w:ascii="宋体" w:hAnsi="宋体" w:cs="宋体"/>
                <w:color w:val="auto"/>
                <w:sz w:val="28"/>
                <w:szCs w:val="28"/>
                <w:highlight w:val="none"/>
              </w:rPr>
              <w:t>、</w:t>
            </w:r>
            <w:r>
              <w:rPr>
                <w:rFonts w:hint="eastAsia" w:ascii="宋体" w:hAnsi="宋体" w:cs="宋体"/>
                <w:color w:val="auto"/>
                <w:sz w:val="28"/>
                <w:szCs w:val="28"/>
                <w:highlight w:val="none"/>
                <w:lang w:eastAsia="zh-CN"/>
              </w:rPr>
              <w:t>18005505728</w:t>
            </w:r>
          </w:p>
          <w:p w14:paraId="60018F68">
            <w:pPr>
              <w:spacing w:line="560" w:lineRule="exact"/>
              <w:ind w:firstLine="5040" w:firstLineChars="1800"/>
              <w:rPr>
                <w:rFonts w:ascii="宋体" w:hAnsi="宋体" w:cs="宋体"/>
                <w:color w:val="auto"/>
                <w:sz w:val="28"/>
                <w:szCs w:val="28"/>
                <w:highlight w:val="none"/>
              </w:rPr>
            </w:pPr>
          </w:p>
          <w:p w14:paraId="0781C8CF">
            <w:pPr>
              <w:spacing w:line="560" w:lineRule="exact"/>
              <w:ind w:firstLine="5460" w:firstLineChars="1950"/>
              <w:rPr>
                <w:rFonts w:ascii="宋体" w:hAnsi="宋体" w:cs="宋体"/>
                <w:color w:val="auto"/>
                <w:sz w:val="28"/>
                <w:szCs w:val="28"/>
                <w:highlight w:val="none"/>
              </w:rPr>
            </w:pPr>
          </w:p>
          <w:p w14:paraId="0A1FE158">
            <w:pPr>
              <w:spacing w:line="560" w:lineRule="exact"/>
              <w:ind w:firstLine="5880" w:firstLineChars="2100"/>
              <w:rPr>
                <w:rFonts w:ascii="宋体" w:hAnsi="宋体" w:cs="宋体"/>
                <w:color w:val="auto"/>
                <w:sz w:val="28"/>
                <w:szCs w:val="28"/>
                <w:highlight w:val="none"/>
              </w:rPr>
            </w:pPr>
            <w:r>
              <w:rPr>
                <w:rFonts w:hint="eastAsia" w:ascii="宋体" w:hAnsi="宋体" w:cs="宋体"/>
                <w:color w:val="auto"/>
                <w:sz w:val="28"/>
                <w:szCs w:val="28"/>
                <w:highlight w:val="none"/>
              </w:rPr>
              <w:t>（单位盖章）</w:t>
            </w:r>
          </w:p>
          <w:p w14:paraId="144B0D1C">
            <w:pPr>
              <w:spacing w:line="560" w:lineRule="exact"/>
              <w:ind w:firstLine="6020" w:firstLineChars="2150"/>
              <w:rPr>
                <w:rFonts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7</w:t>
            </w:r>
            <w:r>
              <w:rPr>
                <w:rFonts w:hint="eastAsia" w:ascii="宋体" w:hAnsi="宋体"/>
                <w:color w:val="auto"/>
                <w:sz w:val="28"/>
                <w:szCs w:val="28"/>
                <w:highlight w:val="none"/>
              </w:rPr>
              <w:t>月</w:t>
            </w:r>
          </w:p>
          <w:p w14:paraId="4EDF8AEB">
            <w:pPr>
              <w:pStyle w:val="16"/>
              <w:ind w:firstLine="420"/>
              <w:rPr>
                <w:color w:val="auto"/>
                <w:highlight w:val="none"/>
              </w:rPr>
            </w:pPr>
          </w:p>
        </w:tc>
      </w:tr>
    </w:tbl>
    <w:p w14:paraId="2D7DD9E9">
      <w:pPr>
        <w:rPr>
          <w:color w:val="auto"/>
          <w:highlight w:val="none"/>
        </w:rPr>
      </w:pPr>
    </w:p>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0"/>
      <w:rPr>
        <w:rStyle w:val="52"/>
      </w:rPr>
    </w:pPr>
  </w:p>
  <w:p w14:paraId="5343591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0"/>
      <w:rPr>
        <w:rStyle w:val="52"/>
      </w:rPr>
    </w:pPr>
  </w:p>
  <w:p w14:paraId="78B0040E">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0"/>
      <w:rPr>
        <w:rStyle w:val="5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0"/>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B55867"/>
    <w:multiLevelType w:val="singleLevel"/>
    <w:tmpl w:val="E4B55867"/>
    <w:lvl w:ilvl="0" w:tentative="0">
      <w:start w:val="1"/>
      <w:numFmt w:val="decimal"/>
      <w:suff w:val="nothing"/>
      <w:lvlText w:val="（%1）"/>
      <w:lvlJc w:val="left"/>
    </w:lvl>
  </w:abstractNum>
  <w:abstractNum w:abstractNumId="1">
    <w:nsid w:val="0D362945"/>
    <w:multiLevelType w:val="singleLevel"/>
    <w:tmpl w:val="0D362945"/>
    <w:lvl w:ilvl="0" w:tentative="0">
      <w:start w:val="2"/>
      <w:numFmt w:val="decimal"/>
      <w:suff w:val="nothing"/>
      <w:lvlText w:val="%1、"/>
      <w:lvlJc w:val="left"/>
    </w:lvl>
  </w:abstractNum>
  <w:abstractNum w:abstractNumId="2">
    <w:nsid w:val="41BBF03D"/>
    <w:multiLevelType w:val="singleLevel"/>
    <w:tmpl w:val="41BBF03D"/>
    <w:lvl w:ilvl="0" w:tentative="0">
      <w:start w:val="1"/>
      <w:numFmt w:val="decimal"/>
      <w:suff w:val="nothing"/>
      <w:lvlText w:val="（%1）"/>
      <w:lvlJc w:val="left"/>
    </w:lvl>
  </w:abstractNum>
  <w:abstractNum w:abstractNumId="3">
    <w:nsid w:val="559F3C87"/>
    <w:multiLevelType w:val="multilevel"/>
    <w:tmpl w:val="559F3C8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68D63744"/>
    <w:multiLevelType w:val="multilevel"/>
    <w:tmpl w:val="68D6374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748A5F3D"/>
    <w:multiLevelType w:val="multilevel"/>
    <w:tmpl w:val="748A5F3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8977C6"/>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5610AB"/>
    <w:rsid w:val="06606ACF"/>
    <w:rsid w:val="06632C8A"/>
    <w:rsid w:val="066C44D0"/>
    <w:rsid w:val="06780BE4"/>
    <w:rsid w:val="067D77AC"/>
    <w:rsid w:val="0688298E"/>
    <w:rsid w:val="06A978A6"/>
    <w:rsid w:val="06BA577F"/>
    <w:rsid w:val="06C373A0"/>
    <w:rsid w:val="06CA61EA"/>
    <w:rsid w:val="06CE3AAD"/>
    <w:rsid w:val="06D3256B"/>
    <w:rsid w:val="06E93094"/>
    <w:rsid w:val="07103285"/>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6463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1E388D"/>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5778E"/>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124D9"/>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52875"/>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148FD"/>
    <w:rsid w:val="2D5756FC"/>
    <w:rsid w:val="2D5D5591"/>
    <w:rsid w:val="2D711ADD"/>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4E423B"/>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60E40"/>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C254C"/>
    <w:rsid w:val="3EBD0BAE"/>
    <w:rsid w:val="3EC3774B"/>
    <w:rsid w:val="3ECC3927"/>
    <w:rsid w:val="3ECD2095"/>
    <w:rsid w:val="3EEF22EE"/>
    <w:rsid w:val="3EF02AD3"/>
    <w:rsid w:val="3F024C1A"/>
    <w:rsid w:val="3F0D0FA0"/>
    <w:rsid w:val="3F0E7D79"/>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04B39"/>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0B5DDF"/>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5206"/>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AA67E0"/>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4F0FED"/>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8A76C9"/>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95E3D"/>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36AD7"/>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27283"/>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4A44F2"/>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82358"/>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02C6A"/>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21"/>
    <w:qFormat/>
    <w:uiPriority w:val="0"/>
    <w:pPr>
      <w:keepNext/>
      <w:keepLines/>
      <w:spacing w:line="440" w:lineRule="exact"/>
      <w:jc w:val="center"/>
      <w:outlineLvl w:val="0"/>
    </w:pPr>
    <w:rPr>
      <w:b/>
      <w:bCs/>
      <w:kern w:val="44"/>
      <w:sz w:val="44"/>
      <w:szCs w:val="44"/>
    </w:rPr>
  </w:style>
  <w:style w:type="paragraph" w:styleId="5">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6">
    <w:name w:val="heading 3"/>
    <w:basedOn w:val="1"/>
    <w:next w:val="1"/>
    <w:link w:val="154"/>
    <w:qFormat/>
    <w:uiPriority w:val="0"/>
    <w:pPr>
      <w:keepNext/>
      <w:keepLines/>
      <w:spacing w:line="415" w:lineRule="auto"/>
      <w:outlineLvl w:val="2"/>
    </w:pPr>
    <w:rPr>
      <w:b/>
      <w:bCs/>
      <w:kern w:val="0"/>
      <w:sz w:val="32"/>
      <w:szCs w:val="32"/>
    </w:rPr>
  </w:style>
  <w:style w:type="paragraph" w:styleId="7">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8">
    <w:name w:val="heading 5"/>
    <w:basedOn w:val="1"/>
    <w:next w:val="1"/>
    <w:link w:val="130"/>
    <w:qFormat/>
    <w:uiPriority w:val="0"/>
    <w:pPr>
      <w:keepNext/>
      <w:keepLines/>
      <w:spacing w:line="376" w:lineRule="auto"/>
      <w:outlineLvl w:val="4"/>
    </w:pPr>
    <w:rPr>
      <w:b/>
      <w:bCs/>
      <w:sz w:val="28"/>
      <w:szCs w:val="28"/>
    </w:rPr>
  </w:style>
  <w:style w:type="paragraph" w:styleId="9">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10">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11">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2">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43"/>
    <w:qFormat/>
    <w:uiPriority w:val="0"/>
  </w:style>
  <w:style w:type="paragraph" w:customStyle="1" w:styleId="3">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toc 7"/>
    <w:basedOn w:val="1"/>
    <w:next w:val="1"/>
    <w:qFormat/>
    <w:uiPriority w:val="39"/>
    <w:pPr>
      <w:ind w:left="1260"/>
      <w:jc w:val="left"/>
    </w:pPr>
    <w:rPr>
      <w:sz w:val="18"/>
      <w:szCs w:val="18"/>
    </w:rPr>
  </w:style>
  <w:style w:type="paragraph" w:styleId="14">
    <w:name w:val="table of authorities"/>
    <w:basedOn w:val="1"/>
    <w:next w:val="1"/>
    <w:unhideWhenUsed/>
    <w:qFormat/>
    <w:uiPriority w:val="0"/>
    <w:pPr>
      <w:ind w:left="420" w:leftChars="200"/>
    </w:pPr>
  </w:style>
  <w:style w:type="paragraph" w:styleId="15">
    <w:name w:val="Normal Indent"/>
    <w:basedOn w:val="1"/>
    <w:next w:val="16"/>
    <w:qFormat/>
    <w:uiPriority w:val="0"/>
    <w:pPr>
      <w:ind w:firstLine="420" w:firstLineChars="200"/>
    </w:pPr>
  </w:style>
  <w:style w:type="paragraph" w:styleId="16">
    <w:name w:val="Body Text First Indent 2"/>
    <w:basedOn w:val="17"/>
    <w:next w:val="18"/>
    <w:qFormat/>
    <w:uiPriority w:val="0"/>
    <w:pPr>
      <w:spacing w:line="360" w:lineRule="auto"/>
      <w:ind w:firstLine="200" w:firstLineChars="200"/>
    </w:pPr>
    <w:rPr>
      <w:rFonts w:ascii="宋体"/>
      <w:szCs w:val="20"/>
    </w:rPr>
  </w:style>
  <w:style w:type="paragraph" w:styleId="17">
    <w:name w:val="Body Text Indent"/>
    <w:basedOn w:val="1"/>
    <w:next w:val="18"/>
    <w:qFormat/>
    <w:uiPriority w:val="0"/>
    <w:pPr>
      <w:ind w:left="420" w:leftChars="200"/>
    </w:pPr>
  </w:style>
  <w:style w:type="paragraph" w:customStyle="1" w:styleId="18">
    <w:name w:val="正文文字 8"/>
    <w:basedOn w:val="1"/>
    <w:next w:val="1"/>
    <w:qFormat/>
    <w:uiPriority w:val="0"/>
    <w:pPr>
      <w:ind w:left="240"/>
    </w:pPr>
    <w:rPr>
      <w:sz w:val="16"/>
    </w:rPr>
  </w:style>
  <w:style w:type="paragraph" w:styleId="19">
    <w:name w:val="Document Map"/>
    <w:basedOn w:val="1"/>
    <w:qFormat/>
    <w:uiPriority w:val="0"/>
    <w:pPr>
      <w:shd w:val="clear" w:color="auto" w:fill="000080"/>
    </w:pPr>
  </w:style>
  <w:style w:type="paragraph" w:styleId="20">
    <w:name w:val="annotation text"/>
    <w:basedOn w:val="1"/>
    <w:link w:val="113"/>
    <w:qFormat/>
    <w:uiPriority w:val="0"/>
    <w:pPr>
      <w:jc w:val="left"/>
    </w:pPr>
  </w:style>
  <w:style w:type="paragraph" w:styleId="21">
    <w:name w:val="Body Text 3"/>
    <w:basedOn w:val="1"/>
    <w:qFormat/>
    <w:uiPriority w:val="0"/>
    <w:rPr>
      <w:rFonts w:ascii="宋体"/>
      <w:sz w:val="24"/>
      <w:szCs w:val="20"/>
    </w:rPr>
  </w:style>
  <w:style w:type="paragraph" w:styleId="22">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3">
    <w:name w:val="toc 5"/>
    <w:basedOn w:val="1"/>
    <w:next w:val="1"/>
    <w:qFormat/>
    <w:uiPriority w:val="39"/>
    <w:pPr>
      <w:ind w:left="840"/>
      <w:jc w:val="left"/>
    </w:pPr>
    <w:rPr>
      <w:sz w:val="18"/>
      <w:szCs w:val="18"/>
    </w:rPr>
  </w:style>
  <w:style w:type="paragraph" w:styleId="24">
    <w:name w:val="toc 3"/>
    <w:basedOn w:val="1"/>
    <w:next w:val="1"/>
    <w:qFormat/>
    <w:uiPriority w:val="39"/>
    <w:pPr>
      <w:ind w:left="420"/>
      <w:jc w:val="left"/>
    </w:pPr>
    <w:rPr>
      <w:i/>
      <w:iCs/>
      <w:sz w:val="20"/>
      <w:szCs w:val="20"/>
    </w:rPr>
  </w:style>
  <w:style w:type="paragraph" w:styleId="25">
    <w:name w:val="Plain Text"/>
    <w:basedOn w:val="1"/>
    <w:next w:val="1"/>
    <w:link w:val="137"/>
    <w:qFormat/>
    <w:uiPriority w:val="0"/>
    <w:rPr>
      <w:rFonts w:ascii="Courier New" w:hAnsi="Courier New"/>
      <w:szCs w:val="20"/>
    </w:rPr>
  </w:style>
  <w:style w:type="paragraph" w:styleId="26">
    <w:name w:val="toc 8"/>
    <w:basedOn w:val="1"/>
    <w:next w:val="1"/>
    <w:qFormat/>
    <w:uiPriority w:val="39"/>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line="360" w:lineRule="exact"/>
      <w:ind w:firstLine="600" w:firstLineChars="250"/>
      <w:jc w:val="left"/>
    </w:pPr>
    <w:rPr>
      <w:sz w:val="24"/>
    </w:r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envelope return"/>
    <w:basedOn w:val="1"/>
    <w:qFormat/>
    <w:uiPriority w:val="0"/>
    <w:pPr>
      <w:snapToGrid w:val="0"/>
    </w:pPr>
    <w:rPr>
      <w:rFonts w:ascii="Arial" w:hAnsi="Arial"/>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jc w:val="left"/>
    </w:pPr>
    <w:rPr>
      <w:b/>
      <w:bCs/>
      <w:caps/>
      <w:sz w:val="20"/>
      <w:szCs w:val="20"/>
    </w:rPr>
  </w:style>
  <w:style w:type="paragraph" w:styleId="34">
    <w:name w:val="toc 4"/>
    <w:basedOn w:val="1"/>
    <w:next w:val="1"/>
    <w:qFormat/>
    <w:uiPriority w:val="39"/>
    <w:pPr>
      <w:ind w:left="630"/>
      <w:jc w:val="left"/>
    </w:pPr>
    <w:rPr>
      <w:sz w:val="18"/>
      <w:szCs w:val="18"/>
    </w:rPr>
  </w:style>
  <w:style w:type="paragraph" w:styleId="35">
    <w:name w:val="List"/>
    <w:basedOn w:val="1"/>
    <w:qFormat/>
    <w:uiPriority w:val="0"/>
    <w:pPr>
      <w:ind w:left="420" w:hanging="420"/>
    </w:pPr>
  </w:style>
  <w:style w:type="paragraph" w:styleId="36">
    <w:name w:val="footnote text"/>
    <w:basedOn w:val="1"/>
    <w:qFormat/>
    <w:uiPriority w:val="0"/>
    <w:rPr>
      <w:sz w:val="20"/>
      <w:szCs w:val="20"/>
    </w:rPr>
  </w:style>
  <w:style w:type="paragraph" w:styleId="37">
    <w:name w:val="toc 6"/>
    <w:basedOn w:val="1"/>
    <w:next w:val="1"/>
    <w:qFormat/>
    <w:uiPriority w:val="39"/>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39"/>
    <w:pPr>
      <w:ind w:left="210"/>
      <w:jc w:val="left"/>
    </w:pPr>
    <w:rPr>
      <w:smallCaps/>
      <w:sz w:val="20"/>
      <w:szCs w:val="20"/>
    </w:rPr>
  </w:style>
  <w:style w:type="paragraph" w:styleId="41">
    <w:name w:val="toc 9"/>
    <w:basedOn w:val="1"/>
    <w:next w:val="1"/>
    <w:qFormat/>
    <w:uiPriority w:val="39"/>
    <w:pPr>
      <w:ind w:left="1680"/>
      <w:jc w:val="left"/>
    </w:pPr>
    <w:rPr>
      <w:sz w:val="18"/>
      <w:szCs w:val="18"/>
    </w:rPr>
  </w:style>
  <w:style w:type="paragraph" w:styleId="42">
    <w:name w:val="Body Text 2"/>
    <w:basedOn w:val="1"/>
    <w:qFormat/>
    <w:uiPriority w:val="0"/>
    <w:pPr>
      <w:spacing w:line="440" w:lineRule="exact"/>
    </w:pPr>
    <w:rPr>
      <w:sz w:val="28"/>
    </w:rPr>
  </w:style>
  <w:style w:type="paragraph" w:styleId="43">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99"/>
    <w:pPr>
      <w:widowControl/>
      <w:spacing w:beforeAutospacing="1" w:afterAutospacing="1"/>
      <w:jc w:val="left"/>
    </w:pPr>
    <w:rPr>
      <w:rFonts w:ascii="宋体" w:hAnsi="宋体" w:cs="宋体"/>
      <w:kern w:val="0"/>
      <w:sz w:val="24"/>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20"/>
    <w:next w:val="20"/>
    <w:qFormat/>
    <w:uiPriority w:val="0"/>
    <w:rPr>
      <w:b/>
      <w:bCs/>
    </w:rPr>
  </w:style>
  <w:style w:type="paragraph" w:styleId="47">
    <w:name w:val="Body Text First Indent"/>
    <w:basedOn w:val="2"/>
    <w:qFormat/>
    <w:uiPriority w:val="0"/>
    <w:pPr>
      <w:ind w:firstLine="420" w:firstLineChars="100"/>
    </w:p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0"/>
    <w:rPr>
      <w:color w:val="333333"/>
      <w:u w:val="none"/>
    </w:rPr>
  </w:style>
  <w:style w:type="character" w:styleId="54">
    <w:name w:val="Emphasis"/>
    <w:qFormat/>
    <w:uiPriority w:val="0"/>
    <w:rPr>
      <w:color w:val="CC0033"/>
    </w:rPr>
  </w:style>
  <w:style w:type="character" w:styleId="55">
    <w:name w:val="HTML Definition"/>
    <w:qFormat/>
    <w:uiPriority w:val="0"/>
  </w:style>
  <w:style w:type="character" w:styleId="56">
    <w:name w:val="HTML Typewriter"/>
    <w:qFormat/>
    <w:uiPriority w:val="0"/>
    <w:rPr>
      <w:rFonts w:hint="default" w:ascii="monospace" w:hAnsi="monospace" w:eastAsia="monospace" w:cs="monospace"/>
      <w:sz w:val="20"/>
    </w:rPr>
  </w:style>
  <w:style w:type="character" w:styleId="57">
    <w:name w:val="HTML Acronym"/>
    <w:basedOn w:val="50"/>
    <w:qFormat/>
    <w:uiPriority w:val="0"/>
  </w:style>
  <w:style w:type="character" w:styleId="58">
    <w:name w:val="HTML Variable"/>
    <w:qFormat/>
    <w:uiPriority w:val="0"/>
  </w:style>
  <w:style w:type="character" w:styleId="59">
    <w:name w:val="Hyperlink"/>
    <w:basedOn w:val="50"/>
    <w:qFormat/>
    <w:uiPriority w:val="99"/>
    <w:rPr>
      <w:color w:val="333333"/>
      <w:u w:val="none"/>
    </w:rPr>
  </w:style>
  <w:style w:type="character" w:styleId="60">
    <w:name w:val="HTML Code"/>
    <w:qFormat/>
    <w:uiPriority w:val="0"/>
    <w:rPr>
      <w:rFonts w:hint="default" w:ascii="monospace" w:hAnsi="monospace" w:eastAsia="monospace" w:cs="monospace"/>
      <w:sz w:val="20"/>
    </w:rPr>
  </w:style>
  <w:style w:type="character" w:styleId="61">
    <w:name w:val="annotation reference"/>
    <w:qFormat/>
    <w:uiPriority w:val="0"/>
    <w:rPr>
      <w:sz w:val="21"/>
      <w:szCs w:val="21"/>
    </w:rPr>
  </w:style>
  <w:style w:type="character" w:styleId="62">
    <w:name w:val="HTML Cite"/>
    <w:qFormat/>
    <w:uiPriority w:val="0"/>
  </w:style>
  <w:style w:type="character" w:styleId="63">
    <w:name w:val="footnote reference"/>
    <w:qFormat/>
    <w:uiPriority w:val="0"/>
    <w:rPr>
      <w:vertAlign w:val="superscript"/>
    </w:rPr>
  </w:style>
  <w:style w:type="character" w:styleId="64">
    <w:name w:val="HTML Keyboard"/>
    <w:qFormat/>
    <w:uiPriority w:val="0"/>
    <w:rPr>
      <w:rFonts w:ascii="monospace" w:hAnsi="monospace" w:eastAsia="monospace" w:cs="monospace"/>
      <w:sz w:val="20"/>
    </w:rPr>
  </w:style>
  <w:style w:type="character" w:styleId="65">
    <w:name w:val="HTML Sample"/>
    <w:qFormat/>
    <w:uiPriority w:val="0"/>
    <w:rPr>
      <w:rFonts w:hint="default" w:ascii="monospace" w:hAnsi="monospace" w:eastAsia="monospace" w:cs="monospace"/>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6"/>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4"/>
    <w:qFormat/>
    <w:uiPriority w:val="0"/>
    <w:pPr>
      <w:jc w:val="left"/>
    </w:pPr>
    <w:rPr>
      <w:rFonts w:ascii="黑体" w:hAnsi="黑体" w:eastAsia="黑体"/>
      <w:sz w:val="21"/>
    </w:rPr>
  </w:style>
  <w:style w:type="paragraph" w:customStyle="1" w:styleId="78">
    <w:name w:val="样式4"/>
    <w:basedOn w:val="6"/>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4"/>
    <w:qFormat/>
    <w:uiPriority w:val="0"/>
    <w:pPr>
      <w:spacing w:line="400" w:lineRule="exact"/>
    </w:pPr>
    <w:rPr>
      <w:rFonts w:ascii="黑体" w:hAnsi="黑体" w:eastAsia="黑体" w:cs="宋体"/>
      <w:b w:val="0"/>
      <w:bCs w:val="0"/>
      <w:sz w:val="32"/>
      <w:szCs w:val="20"/>
    </w:rPr>
  </w:style>
  <w:style w:type="paragraph" w:customStyle="1" w:styleId="83">
    <w:name w:val="_Style 78"/>
    <w:basedOn w:val="4"/>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6"/>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5"/>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6"/>
    <w:qFormat/>
    <w:uiPriority w:val="0"/>
    <w:rPr>
      <w:rFonts w:eastAsia="Arial"/>
    </w:rPr>
  </w:style>
  <w:style w:type="paragraph" w:customStyle="1" w:styleId="96">
    <w:name w:val="样式 标题 3 + (中文) 黑体 小四 非加粗 段前: 7.8 磅 段后: 0 磅 行距: 固定值 20 磅"/>
    <w:basedOn w:val="6"/>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50"/>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50"/>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50"/>
    <w:qFormat/>
    <w:uiPriority w:val="0"/>
  </w:style>
  <w:style w:type="character" w:customStyle="1" w:styleId="111">
    <w:name w:val="img4"/>
    <w:basedOn w:val="50"/>
    <w:qFormat/>
    <w:uiPriority w:val="0"/>
  </w:style>
  <w:style w:type="character" w:customStyle="1" w:styleId="112">
    <w:name w:val="tit11"/>
    <w:qFormat/>
    <w:uiPriority w:val="0"/>
    <w:rPr>
      <w:color w:val="B60000"/>
    </w:rPr>
  </w:style>
  <w:style w:type="character" w:customStyle="1" w:styleId="113">
    <w:name w:val="批注文字 Char"/>
    <w:link w:val="20"/>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3"/>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50"/>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4"/>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50"/>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8"/>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50"/>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50"/>
    <w:qFormat/>
    <w:uiPriority w:val="0"/>
  </w:style>
  <w:style w:type="character" w:customStyle="1" w:styleId="136">
    <w:name w:val="txt"/>
    <w:qFormat/>
    <w:uiPriority w:val="0"/>
    <w:rPr>
      <w:color w:val="C0C0C0"/>
    </w:rPr>
  </w:style>
  <w:style w:type="character" w:customStyle="1" w:styleId="137">
    <w:name w:val="纯文本 Char2"/>
    <w:link w:val="25"/>
    <w:qFormat/>
    <w:uiPriority w:val="0"/>
    <w:rPr>
      <w:rFonts w:ascii="Courier New" w:hAnsi="Courier New" w:eastAsia="宋体"/>
      <w:kern w:val="2"/>
      <w:sz w:val="21"/>
      <w:lang w:val="en-US" w:eastAsia="zh-CN" w:bidi="ar-SA"/>
    </w:rPr>
  </w:style>
  <w:style w:type="character" w:customStyle="1" w:styleId="138">
    <w:name w:val="jg"/>
    <w:basedOn w:val="50"/>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50"/>
    <w:qFormat/>
    <w:uiPriority w:val="0"/>
  </w:style>
  <w:style w:type="character" w:customStyle="1" w:styleId="141">
    <w:name w:val="job1"/>
    <w:basedOn w:val="50"/>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
    <w:qFormat/>
    <w:uiPriority w:val="0"/>
    <w:rPr>
      <w:rFonts w:eastAsia="宋体"/>
      <w:kern w:val="2"/>
      <w:sz w:val="21"/>
      <w:szCs w:val="24"/>
      <w:lang w:val="en-US" w:eastAsia="zh-CN" w:bidi="ar-SA"/>
    </w:rPr>
  </w:style>
  <w:style w:type="character" w:customStyle="1" w:styleId="144">
    <w:name w:val="p05"/>
    <w:basedOn w:val="50"/>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50"/>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50"/>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50"/>
    <w:qFormat/>
    <w:uiPriority w:val="0"/>
  </w:style>
  <w:style w:type="character" w:customStyle="1" w:styleId="152">
    <w:name w:val="msg-box30"/>
    <w:basedOn w:val="50"/>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6"/>
    <w:qFormat/>
    <w:uiPriority w:val="0"/>
    <w:rPr>
      <w:b/>
      <w:bCs/>
      <w:sz w:val="32"/>
      <w:szCs w:val="32"/>
    </w:rPr>
  </w:style>
  <w:style w:type="character" w:customStyle="1" w:styleId="155">
    <w:name w:val="c1"/>
    <w:basedOn w:val="50"/>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50"/>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50"/>
    <w:qFormat/>
    <w:uiPriority w:val="0"/>
  </w:style>
  <w:style w:type="character" w:customStyle="1" w:styleId="171">
    <w:name w:val="mesg-myd"/>
    <w:qFormat/>
    <w:uiPriority w:val="0"/>
    <w:rPr>
      <w:color w:val="EE0000"/>
    </w:rPr>
  </w:style>
  <w:style w:type="character" w:customStyle="1" w:styleId="172">
    <w:name w:val="c2"/>
    <w:basedOn w:val="50"/>
    <w:qFormat/>
    <w:uiPriority w:val="0"/>
  </w:style>
  <w:style w:type="character" w:customStyle="1" w:styleId="173">
    <w:name w:val="c3"/>
    <w:basedOn w:val="50"/>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50"/>
    <w:qFormat/>
    <w:uiPriority w:val="0"/>
  </w:style>
  <w:style w:type="character" w:customStyle="1" w:styleId="180">
    <w:name w:val="starting4"/>
    <w:basedOn w:val="50"/>
    <w:qFormat/>
    <w:uiPriority w:val="0"/>
  </w:style>
  <w:style w:type="character" w:customStyle="1" w:styleId="181">
    <w:name w:val="bsharetext"/>
    <w:basedOn w:val="50"/>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50"/>
    <w:qFormat/>
    <w:uiPriority w:val="0"/>
  </w:style>
  <w:style w:type="character" w:customStyle="1" w:styleId="189">
    <w:name w:val="buvis1"/>
    <w:qFormat/>
    <w:uiPriority w:val="0"/>
    <w:rPr>
      <w:color w:val="CC0000"/>
    </w:rPr>
  </w:style>
  <w:style w:type="character" w:customStyle="1" w:styleId="190">
    <w:name w:val="starting3"/>
    <w:basedOn w:val="50"/>
    <w:qFormat/>
    <w:uiPriority w:val="0"/>
  </w:style>
  <w:style w:type="character" w:customStyle="1" w:styleId="191">
    <w:name w:val="textcontents"/>
    <w:basedOn w:val="50"/>
    <w:qFormat/>
    <w:uiPriority w:val="0"/>
  </w:style>
  <w:style w:type="character" w:customStyle="1" w:styleId="192">
    <w:name w:val="num41"/>
    <w:basedOn w:val="50"/>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5"/>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50"/>
    <w:qFormat/>
    <w:uiPriority w:val="0"/>
    <w:rPr>
      <w:rFonts w:hint="eastAsia" w:ascii="仿宋" w:hAnsi="仿宋" w:eastAsia="仿宋" w:cs="仿宋"/>
      <w:b/>
      <w:color w:val="000000"/>
      <w:sz w:val="32"/>
      <w:szCs w:val="32"/>
      <w:u w:val="none"/>
    </w:rPr>
  </w:style>
  <w:style w:type="character" w:customStyle="1" w:styleId="201">
    <w:name w:val="font101"/>
    <w:basedOn w:val="50"/>
    <w:qFormat/>
    <w:uiPriority w:val="0"/>
    <w:rPr>
      <w:rFonts w:hint="default" w:ascii="Times New Roman" w:hAnsi="Times New Roman" w:cs="Times New Roman"/>
      <w:color w:val="000000"/>
      <w:sz w:val="24"/>
      <w:szCs w:val="24"/>
      <w:u w:val="none"/>
    </w:rPr>
  </w:style>
  <w:style w:type="character" w:customStyle="1" w:styleId="202">
    <w:name w:val="font111"/>
    <w:basedOn w:val="50"/>
    <w:qFormat/>
    <w:uiPriority w:val="0"/>
    <w:rPr>
      <w:rFonts w:ascii="仿宋_GB2312" w:eastAsia="仿宋_GB2312" w:cs="仿宋_GB2312"/>
      <w:color w:val="000000"/>
      <w:sz w:val="24"/>
      <w:szCs w:val="24"/>
      <w:u w:val="none"/>
    </w:rPr>
  </w:style>
  <w:style w:type="character" w:customStyle="1" w:styleId="203">
    <w:name w:val="font91"/>
    <w:basedOn w:val="50"/>
    <w:qFormat/>
    <w:uiPriority w:val="0"/>
    <w:rPr>
      <w:rFonts w:hint="eastAsia" w:ascii="仿宋" w:hAnsi="仿宋" w:eastAsia="仿宋" w:cs="仿宋"/>
      <w:color w:val="000000"/>
      <w:sz w:val="24"/>
      <w:szCs w:val="24"/>
      <w:u w:val="single"/>
    </w:rPr>
  </w:style>
  <w:style w:type="character" w:customStyle="1" w:styleId="204">
    <w:name w:val="font81"/>
    <w:basedOn w:val="50"/>
    <w:qFormat/>
    <w:uiPriority w:val="0"/>
    <w:rPr>
      <w:rFonts w:hint="default" w:ascii="Times New Roman" w:hAnsi="Times New Roman" w:cs="Times New Roman"/>
      <w:color w:val="000000"/>
      <w:sz w:val="24"/>
      <w:szCs w:val="24"/>
      <w:u w:val="none"/>
    </w:rPr>
  </w:style>
  <w:style w:type="character" w:customStyle="1" w:styleId="205">
    <w:name w:val="font61"/>
    <w:basedOn w:val="50"/>
    <w:qFormat/>
    <w:uiPriority w:val="0"/>
    <w:rPr>
      <w:rFonts w:hint="eastAsia" w:ascii="仿宋_GB2312" w:eastAsia="仿宋_GB2312" w:cs="仿宋_GB2312"/>
      <w:color w:val="000000"/>
      <w:sz w:val="24"/>
      <w:szCs w:val="24"/>
      <w:u w:val="none"/>
    </w:rPr>
  </w:style>
  <w:style w:type="character" w:customStyle="1" w:styleId="206">
    <w:name w:val="font21"/>
    <w:basedOn w:val="50"/>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50"/>
    <w:qFormat/>
    <w:uiPriority w:val="0"/>
  </w:style>
  <w:style w:type="character" w:customStyle="1" w:styleId="209">
    <w:name w:val="hover1"/>
    <w:basedOn w:val="50"/>
    <w:qFormat/>
    <w:uiPriority w:val="0"/>
    <w:rPr>
      <w:color w:val="2590EB"/>
    </w:rPr>
  </w:style>
  <w:style w:type="character" w:customStyle="1" w:styleId="210">
    <w:name w:val="hover2"/>
    <w:basedOn w:val="50"/>
    <w:qFormat/>
    <w:uiPriority w:val="0"/>
  </w:style>
  <w:style w:type="character" w:customStyle="1" w:styleId="211">
    <w:name w:val="hover3"/>
    <w:basedOn w:val="50"/>
    <w:qFormat/>
    <w:uiPriority w:val="0"/>
    <w:rPr>
      <w:color w:val="2590EB"/>
    </w:rPr>
  </w:style>
  <w:style w:type="character" w:customStyle="1" w:styleId="212">
    <w:name w:val="hover4"/>
    <w:basedOn w:val="50"/>
    <w:qFormat/>
    <w:uiPriority w:val="0"/>
    <w:rPr>
      <w:color w:val="2590EB"/>
      <w:shd w:val="clear" w:fill="E9F4FD"/>
    </w:rPr>
  </w:style>
  <w:style w:type="character" w:customStyle="1" w:styleId="213">
    <w:name w:val="mini-outputtext1"/>
    <w:basedOn w:val="50"/>
    <w:qFormat/>
    <w:uiPriority w:val="0"/>
  </w:style>
  <w:style w:type="character" w:customStyle="1" w:styleId="214">
    <w:name w:val="hover"/>
    <w:basedOn w:val="50"/>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47</Pages>
  <Words>9875</Words>
  <Characters>10668</Characters>
  <Lines>411</Lines>
  <Paragraphs>115</Paragraphs>
  <TotalTime>0</TotalTime>
  <ScaleCrop>false</ScaleCrop>
  <LinksUpToDate>false</LinksUpToDate>
  <CharactersWithSpaces>11058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2023-06-08T00:43:00Z</cp:lastPrinted>
  <dcterms:modified xsi:type="dcterms:W3CDTF">2026-07-30T13:05:40Z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5A96E9D5DEA14287B230D772E27E32F1_13</vt:lpwstr>
  </property>
  <property fmtid="{D5CDD505-2E9C-101B-9397-08002B2CF9AE}" pid="4" name="KSOTemplateDocerSaveRecord">
    <vt:lpwstr>eyJoZGlkIjoiMTljMDcwYWJmYjExZWQzNTVmZDAzZTYwM2JlMzJmZDYiLCJ1c2VySWQiOiIzODU2Mzk2OTQifQ==</vt:lpwstr>
  </property>
</Properties>
</file>