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19E29">
      <w:pPr>
        <w:widowControl/>
        <w:spacing w:line="357" w:lineRule="atLeast"/>
        <w:jc w:val="center"/>
        <w:rPr>
          <w:sz w:val="39"/>
          <w:szCs w:val="21"/>
          <w:highlight w:val="none"/>
        </w:rPr>
      </w:pPr>
    </w:p>
    <w:p w14:paraId="3BAF6AD6">
      <w:pPr>
        <w:widowControl/>
        <w:spacing w:line="357" w:lineRule="atLeast"/>
        <w:rPr>
          <w:sz w:val="39"/>
          <w:szCs w:val="21"/>
          <w:highlight w:val="none"/>
        </w:rPr>
      </w:pPr>
    </w:p>
    <w:p w14:paraId="0C62D347">
      <w:pPr>
        <w:widowControl/>
        <w:spacing w:line="357" w:lineRule="atLeast"/>
        <w:jc w:val="center"/>
        <w:rPr>
          <w:rFonts w:ascii="宋体" w:hAnsi="宋体" w:eastAsia="宋体" w:cs="宋体"/>
          <w:b/>
          <w:color w:val="000000"/>
          <w:kern w:val="0"/>
          <w:sz w:val="84"/>
          <w:szCs w:val="84"/>
          <w:highlight w:val="none"/>
          <w:u w:color="000000"/>
          <w:lang w:bidi="ar"/>
        </w:rPr>
      </w:pPr>
      <w:r>
        <w:rPr>
          <w:rFonts w:hint="eastAsia" w:cs="宋体"/>
          <w:b/>
          <w:sz w:val="52"/>
          <w:szCs w:val="32"/>
          <w:highlight w:val="none"/>
          <w:lang w:eastAsia="zh-CN" w:bidi="ar"/>
        </w:rPr>
        <w:t>滁州轨道运营VI标识标牌制作安装项目（2026年—2027年）</w:t>
      </w:r>
    </w:p>
    <w:p w14:paraId="09750791">
      <w:pPr>
        <w:widowControl/>
        <w:spacing w:line="357" w:lineRule="atLeast"/>
        <w:jc w:val="center"/>
        <w:rPr>
          <w:rFonts w:hint="eastAsia" w:ascii="宋体" w:hAnsi="宋体" w:eastAsia="宋体" w:cs="宋体"/>
          <w:b/>
          <w:color w:val="000000"/>
          <w:kern w:val="0"/>
          <w:sz w:val="84"/>
          <w:szCs w:val="84"/>
          <w:highlight w:val="none"/>
          <w:u w:color="000000"/>
          <w:lang w:bidi="ar"/>
        </w:rPr>
      </w:pPr>
    </w:p>
    <w:p w14:paraId="0A411731">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14:paraId="01EB10A1">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14:paraId="25BF94EB">
      <w:pPr>
        <w:pStyle w:val="17"/>
        <w:widowControl/>
        <w:rPr>
          <w:highlight w:val="none"/>
        </w:rPr>
      </w:pPr>
      <w:r>
        <w:rPr>
          <w:highlight w:val="none"/>
        </w:rPr>
        <w:t xml:space="preserve"> </w:t>
      </w:r>
    </w:p>
    <w:p w14:paraId="09AF654A">
      <w:pPr>
        <w:pStyle w:val="17"/>
        <w:widowControl/>
        <w:rPr>
          <w:highlight w:val="none"/>
        </w:rPr>
      </w:pPr>
      <w:r>
        <w:rPr>
          <w:highlight w:val="none"/>
        </w:rPr>
        <w:t xml:space="preserve"> </w:t>
      </w:r>
    </w:p>
    <w:p w14:paraId="1F7468B8">
      <w:pPr>
        <w:pStyle w:val="17"/>
        <w:widowControl/>
        <w:rPr>
          <w:highlight w:val="none"/>
        </w:rPr>
      </w:pPr>
      <w:r>
        <w:rPr>
          <w:highlight w:val="none"/>
        </w:rPr>
        <w:t xml:space="preserve"> </w:t>
      </w:r>
    </w:p>
    <w:p w14:paraId="0A2C4C47">
      <w:pPr>
        <w:pStyle w:val="17"/>
        <w:widowControl/>
        <w:rPr>
          <w:rFonts w:eastAsia="宋体"/>
          <w:highlight w:val="none"/>
        </w:rPr>
      </w:pPr>
      <w:r>
        <w:rPr>
          <w:highlight w:val="none"/>
        </w:rPr>
        <w:t xml:space="preserve">  </w:t>
      </w:r>
    </w:p>
    <w:p w14:paraId="799569A9">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9046078">
      <w:pPr>
        <w:adjustRightInd w:val="0"/>
        <w:snapToGrid w:val="0"/>
        <w:ind w:firstLine="302" w:firstLineChars="94"/>
        <w:rPr>
          <w:rFonts w:ascii="宋体" w:hAnsi="宋体"/>
          <w:b/>
          <w:sz w:val="32"/>
          <w:highlight w:val="none"/>
          <w:u w:val="thick"/>
        </w:rPr>
      </w:pPr>
    </w:p>
    <w:p w14:paraId="6E4146AA">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274A1E05">
      <w:pPr>
        <w:adjustRightInd w:val="0"/>
        <w:snapToGrid w:val="0"/>
        <w:rPr>
          <w:rFonts w:ascii="宋体" w:hAnsi="宋体"/>
          <w:spacing w:val="20"/>
          <w:sz w:val="32"/>
          <w:highlight w:val="none"/>
          <w:u w:val="single"/>
        </w:rPr>
      </w:pPr>
    </w:p>
    <w:p w14:paraId="3E4F6671">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7</w:t>
      </w:r>
      <w:r>
        <w:rPr>
          <w:rFonts w:hint="eastAsia" w:ascii="宋体" w:hAnsi="宋体"/>
          <w:b/>
          <w:sz w:val="32"/>
          <w:highlight w:val="none"/>
          <w:u w:val="thick"/>
        </w:rPr>
        <w:t xml:space="preserve">月            </w:t>
      </w:r>
    </w:p>
    <w:p w14:paraId="01E06774">
      <w:pPr>
        <w:pStyle w:val="5"/>
        <w:rPr>
          <w:highlight w:val="none"/>
        </w:rPr>
      </w:pPr>
      <w:r>
        <w:rPr>
          <w:highlight w:val="none"/>
        </w:rPr>
        <w:t xml:space="preserve"> </w:t>
      </w:r>
    </w:p>
    <w:p w14:paraId="4128B2E2">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14:paraId="40A11318">
      <w:pPr>
        <w:jc w:val="center"/>
        <w:rPr>
          <w:rFonts w:ascii="宋体" w:hAnsi="宋体" w:eastAsia="宋体" w:cs="宋体"/>
          <w:b/>
          <w:color w:val="000000"/>
          <w:kern w:val="0"/>
          <w:sz w:val="36"/>
          <w:szCs w:val="36"/>
          <w:highlight w:val="none"/>
          <w:u w:color="000000"/>
          <w:lang w:bidi="ar"/>
        </w:rPr>
      </w:pPr>
    </w:p>
    <w:p w14:paraId="452EB35A">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14:paraId="6CD4F9C8">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14:paraId="47564547">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第二章  投标人须知 ………………………………………………………………4</w:t>
      </w:r>
    </w:p>
    <w:p w14:paraId="46B336F4">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第三章  资格审查办法  …………………………………………………………</w:t>
      </w:r>
      <w:r>
        <w:rPr>
          <w:rFonts w:hint="eastAsia" w:ascii="宋体" w:hAnsi="宋体" w:eastAsia="宋体" w:cs="宋体"/>
          <w:color w:val="000000"/>
          <w:kern w:val="0"/>
          <w:sz w:val="24"/>
          <w:highlight w:val="none"/>
          <w:u w:color="000000"/>
          <w:lang w:val="en-US" w:eastAsia="zh-CN" w:bidi="ar"/>
        </w:rPr>
        <w:t>17</w:t>
      </w:r>
    </w:p>
    <w:p w14:paraId="3E31864D">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8</w:t>
      </w:r>
    </w:p>
    <w:p w14:paraId="1E5DC742">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第五章  用户需求书………………………………………………………………2</w:t>
      </w:r>
      <w:r>
        <w:rPr>
          <w:rFonts w:hint="eastAsia" w:ascii="宋体" w:hAnsi="宋体" w:eastAsia="宋体" w:cs="宋体"/>
          <w:color w:val="000000"/>
          <w:kern w:val="0"/>
          <w:sz w:val="24"/>
          <w:highlight w:val="none"/>
          <w:u w:color="000000"/>
          <w:lang w:val="en-US" w:eastAsia="zh-CN" w:bidi="ar"/>
        </w:rPr>
        <w:t>4</w:t>
      </w:r>
    </w:p>
    <w:p w14:paraId="32694EB5">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第六章  合同条款及格式…………………………………………………………4</w:t>
      </w:r>
      <w:r>
        <w:rPr>
          <w:rFonts w:hint="eastAsia" w:ascii="宋体" w:hAnsi="宋体" w:eastAsia="宋体" w:cs="宋体"/>
          <w:color w:val="000000"/>
          <w:kern w:val="0"/>
          <w:sz w:val="24"/>
          <w:highlight w:val="none"/>
          <w:u w:color="000000"/>
          <w:lang w:val="en-US" w:eastAsia="zh-CN" w:bidi="ar"/>
        </w:rPr>
        <w:t>3</w:t>
      </w:r>
    </w:p>
    <w:p w14:paraId="25B73F88">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第七章  投标文件格式……………………………………………………………5</w:t>
      </w:r>
      <w:r>
        <w:rPr>
          <w:rFonts w:hint="eastAsia" w:ascii="宋体" w:hAnsi="宋体" w:eastAsia="宋体" w:cs="宋体"/>
          <w:color w:val="000000"/>
          <w:kern w:val="0"/>
          <w:sz w:val="24"/>
          <w:highlight w:val="none"/>
          <w:u w:color="000000"/>
          <w:lang w:val="en-US" w:eastAsia="zh-CN" w:bidi="ar"/>
        </w:rPr>
        <w:t>4</w:t>
      </w:r>
    </w:p>
    <w:p w14:paraId="635D8498">
      <w:pPr>
        <w:widowControl/>
        <w:spacing w:line="720" w:lineRule="auto"/>
        <w:rPr>
          <w:rFonts w:hint="eastAsia" w:ascii="宋体" w:hAnsi="宋体" w:eastAsia="宋体" w:cs="宋体"/>
          <w:sz w:val="24"/>
          <w:highlight w:val="none"/>
          <w:lang w:val="en-US" w:eastAsia="zh-CN"/>
        </w:rPr>
      </w:pPr>
      <w:r>
        <w:rPr>
          <w:rFonts w:hint="eastAsia" w:ascii="宋体" w:hAnsi="宋体" w:eastAsia="宋体" w:cs="宋体"/>
          <w:color w:val="000000"/>
          <w:kern w:val="0"/>
          <w:sz w:val="24"/>
          <w:highlight w:val="none"/>
          <w:u w:color="000000"/>
          <w:lang w:bidi="ar"/>
        </w:rPr>
        <w:t>第八章  招标人、招标代理机构对本招标文件的确认…………………………7</w:t>
      </w:r>
      <w:r>
        <w:rPr>
          <w:rFonts w:hint="eastAsia" w:ascii="宋体" w:hAnsi="宋体" w:eastAsia="宋体" w:cs="宋体"/>
          <w:color w:val="000000"/>
          <w:kern w:val="0"/>
          <w:sz w:val="24"/>
          <w:highlight w:val="none"/>
          <w:u w:color="000000"/>
          <w:lang w:val="en-US" w:eastAsia="zh-CN" w:bidi="ar"/>
        </w:rPr>
        <w:t>5</w:t>
      </w:r>
    </w:p>
    <w:p w14:paraId="2CF3B429">
      <w:pPr>
        <w:rPr>
          <w:rFonts w:ascii="宋体" w:hAnsi="宋体" w:eastAsia="宋体" w:cs="宋体"/>
          <w:sz w:val="24"/>
          <w:highlight w:val="none"/>
          <w:lang w:bidi="ar"/>
        </w:rPr>
        <w:sectPr>
          <w:pgSz w:w="11906" w:h="16838"/>
          <w:pgMar w:top="1440" w:right="1800" w:bottom="1440" w:left="1800" w:header="851" w:footer="992" w:gutter="0"/>
          <w:pgNumType w:fmt="numberInDash" w:start="1"/>
          <w:cols w:space="425" w:num="1"/>
          <w:docGrid w:type="lines" w:linePitch="312" w:charSpace="0"/>
        </w:sectPr>
      </w:pPr>
    </w:p>
    <w:p w14:paraId="4C140588">
      <w:pPr>
        <w:pStyle w:val="17"/>
        <w:widowControl/>
        <w:spacing w:beforeAutospacing="0" w:afterAutospacing="0" w:line="480" w:lineRule="exact"/>
        <w:jc w:val="center"/>
        <w:rPr>
          <w:rFonts w:ascii="宋体" w:hAnsi="宋体" w:eastAsia="宋体" w:cs="宋体"/>
          <w:b/>
          <w:bCs/>
          <w:highlight w:val="none"/>
        </w:rPr>
      </w:pPr>
      <w:bookmarkStart w:id="1" w:name="_Toc23741_WPSOffice_Level1"/>
      <w:bookmarkEnd w:id="1"/>
      <w:bookmarkStart w:id="2" w:name="_Toc29214"/>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18980_WPSOffice_Level1"/>
      <w:bookmarkEnd w:id="3"/>
      <w:bookmarkStart w:id="4" w:name="_Toc7358"/>
      <w:bookmarkEnd w:id="4"/>
      <w:r>
        <w:rPr>
          <w:rFonts w:hint="eastAsia" w:ascii="宋体" w:hAnsi="宋体" w:eastAsia="宋体" w:cs="宋体"/>
          <w:b/>
          <w:bCs/>
          <w:highlight w:val="none"/>
        </w:rPr>
        <w:t>招标公告</w:t>
      </w:r>
    </w:p>
    <w:p w14:paraId="1EA7ECB6">
      <w:pPr>
        <w:widowControl/>
        <w:autoSpaceDE w:val="0"/>
        <w:spacing w:line="480" w:lineRule="exact"/>
        <w:ind w:firstLine="480" w:firstLineChars="200"/>
        <w:jc w:val="left"/>
        <w:rPr>
          <w:rFonts w:ascii="宋体" w:hAnsi="宋体" w:eastAsia="宋体" w:cs="宋体"/>
          <w:color w:val="000000"/>
          <w:kern w:val="0"/>
          <w:sz w:val="24"/>
          <w:highlight w:val="none"/>
          <w:u w:color="000000"/>
          <w:lang w:bidi="ar"/>
        </w:rPr>
      </w:pPr>
      <w:bookmarkStart w:id="5" w:name="_Toc35393621"/>
      <w:bookmarkEnd w:id="5"/>
      <w:bookmarkStart w:id="6" w:name="_Toc28359002"/>
      <w:bookmarkEnd w:id="6"/>
      <w:bookmarkStart w:id="7" w:name="_Toc28359079"/>
      <w:bookmarkEnd w:id="7"/>
      <w:bookmarkStart w:id="8" w:name="_Toc58430305"/>
      <w:bookmarkEnd w:id="8"/>
      <w:bookmarkStart w:id="9" w:name="_Toc35393790"/>
      <w:r>
        <w:rPr>
          <w:rFonts w:hint="eastAsia" w:ascii="宋体" w:hAnsi="宋体" w:eastAsia="宋体" w:cs="宋体"/>
          <w:color w:val="000000"/>
          <w:kern w:val="0"/>
          <w:sz w:val="24"/>
          <w:highlight w:val="none"/>
          <w:u w:color="000000"/>
          <w:lang w:bidi="ar"/>
        </w:rPr>
        <w:t>项目概况</w:t>
      </w:r>
    </w:p>
    <w:p w14:paraId="5A1A0E5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滁州轨道运营VI标识标牌制作安装项目（2026年—2027年）</w:t>
      </w:r>
      <w:r>
        <w:rPr>
          <w:rFonts w:hint="eastAsia" w:ascii="宋体" w:hAnsi="宋体" w:eastAsia="宋体" w:cs="宋体"/>
          <w:color w:val="000000"/>
          <w:kern w:val="0"/>
          <w:sz w:val="24"/>
          <w:highlight w:val="none"/>
          <w:u w:color="000000"/>
          <w:lang w:bidi="ar"/>
        </w:rPr>
        <w:t>的</w:t>
      </w:r>
      <w:r>
        <w:rPr>
          <w:rFonts w:hint="eastAsia" w:ascii="宋体" w:hAnsi="宋体" w:eastAsia="宋体" w:cs="宋体"/>
          <w:color w:val="000000"/>
          <w:kern w:val="0"/>
          <w:sz w:val="24"/>
          <w:szCs w:val="24"/>
          <w:highlight w:val="none"/>
          <w:u w:color="000000"/>
          <w:lang w:val="en-US" w:eastAsia="zh-CN" w:bidi="ar"/>
        </w:rPr>
        <w:t>潜在投标人应在滁州市滁宁城际铁路开发建设有限公司网站http://czctgs.cn/；滁州市城投工程咨询管理有限公司网站https://www.czctgczx.com获取招标文件，并于2026年8月17日15时00分（北京时间）前递交投标文件。</w:t>
      </w:r>
    </w:p>
    <w:p w14:paraId="05A36908">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14:paraId="2FA3851C">
      <w:pPr>
        <w:widowControl/>
        <w:autoSpaceDE w:val="0"/>
        <w:spacing w:line="480" w:lineRule="exact"/>
        <w:ind w:left="478" w:leftChars="228"/>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项目名称：</w:t>
      </w:r>
      <w:r>
        <w:rPr>
          <w:rFonts w:hint="eastAsia" w:ascii="宋体" w:hAnsi="宋体" w:eastAsia="宋体" w:cs="宋体"/>
          <w:color w:val="000000"/>
          <w:kern w:val="0"/>
          <w:sz w:val="24"/>
          <w:highlight w:val="none"/>
          <w:u w:color="000000"/>
          <w:lang w:eastAsia="zh-CN" w:bidi="ar"/>
        </w:rPr>
        <w:t>滁州轨道运营VI标识标牌制作安装项目（2026年—2027年）</w:t>
      </w:r>
    </w:p>
    <w:p w14:paraId="6E200529">
      <w:pPr>
        <w:widowControl/>
        <w:autoSpaceDE w:val="0"/>
        <w:spacing w:line="480" w:lineRule="exact"/>
        <w:ind w:left="478" w:leftChars="228"/>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预算金额</w:t>
      </w:r>
      <w:r>
        <w:rPr>
          <w:rFonts w:hint="eastAsia" w:ascii="宋体" w:hAnsi="宋体" w:eastAsia="宋体" w:cs="宋体"/>
          <w:color w:val="000000"/>
          <w:kern w:val="0"/>
          <w:sz w:val="24"/>
          <w:szCs w:val="24"/>
          <w:highlight w:val="none"/>
          <w:u w:color="000000"/>
          <w:lang w:val="en-US" w:eastAsia="zh-CN" w:bidi="ar"/>
        </w:rPr>
        <w:t>（含税）</w:t>
      </w:r>
      <w:r>
        <w:rPr>
          <w:rFonts w:hint="eastAsia" w:ascii="宋体" w:hAnsi="宋体" w:eastAsia="宋体" w:cs="宋体"/>
          <w:color w:val="000000"/>
          <w:kern w:val="0"/>
          <w:sz w:val="24"/>
          <w:highlight w:val="none"/>
          <w:u w:color="000000"/>
          <w:lang w:bidi="ar"/>
        </w:rPr>
        <w:t>：</w:t>
      </w:r>
      <w:r>
        <w:rPr>
          <w:rFonts w:hint="eastAsia" w:ascii="宋体" w:hAnsi="宋体" w:eastAsia="宋体" w:cs="Times New Roman"/>
          <w:b w:val="0"/>
          <w:bCs w:val="0"/>
          <w:kern w:val="0"/>
          <w:sz w:val="24"/>
          <w:szCs w:val="24"/>
          <w:highlight w:val="none"/>
          <w:lang w:val="en-US" w:eastAsia="zh-CN" w:bidi="ar-SA"/>
        </w:rPr>
        <w:t>218042</w:t>
      </w:r>
      <w:r>
        <w:rPr>
          <w:rFonts w:hint="eastAsia" w:ascii="宋体" w:hAnsi="宋体" w:eastAsia="宋体" w:cs="宋体"/>
          <w:color w:val="000000"/>
          <w:kern w:val="0"/>
          <w:sz w:val="24"/>
          <w:highlight w:val="none"/>
          <w:u w:color="000000"/>
          <w:lang w:bidi="ar"/>
        </w:rPr>
        <w:t>元</w:t>
      </w:r>
    </w:p>
    <w:p w14:paraId="1CEF683E">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最高限价</w:t>
      </w:r>
      <w:r>
        <w:rPr>
          <w:rFonts w:hint="eastAsia" w:ascii="宋体" w:hAnsi="宋体" w:eastAsia="宋体" w:cs="宋体"/>
          <w:color w:val="000000"/>
          <w:kern w:val="0"/>
          <w:sz w:val="24"/>
          <w:szCs w:val="24"/>
          <w:highlight w:val="none"/>
          <w:u w:color="000000"/>
          <w:lang w:val="en-US" w:eastAsia="zh-CN" w:bidi="ar"/>
        </w:rPr>
        <w:t>（含税）</w:t>
      </w:r>
      <w:r>
        <w:rPr>
          <w:rFonts w:hint="eastAsia" w:ascii="宋体" w:hAnsi="宋体" w:eastAsia="宋体" w:cs="宋体"/>
          <w:color w:val="000000"/>
          <w:kern w:val="0"/>
          <w:sz w:val="24"/>
          <w:highlight w:val="none"/>
          <w:u w:color="000000"/>
          <w:lang w:bidi="ar"/>
        </w:rPr>
        <w:t>：本项目最高限价为（人民币）</w:t>
      </w:r>
      <w:r>
        <w:rPr>
          <w:rFonts w:hint="eastAsia" w:ascii="宋体" w:hAnsi="宋体" w:eastAsia="宋体" w:cs="Times New Roman"/>
          <w:b w:val="0"/>
          <w:bCs w:val="0"/>
          <w:kern w:val="0"/>
          <w:sz w:val="24"/>
          <w:szCs w:val="24"/>
          <w:highlight w:val="none"/>
          <w:lang w:val="en-US" w:eastAsia="zh-CN" w:bidi="ar-SA"/>
        </w:rPr>
        <w:t>218042</w:t>
      </w:r>
      <w:r>
        <w:rPr>
          <w:rFonts w:hint="eastAsia" w:ascii="宋体" w:hAnsi="宋体" w:eastAsia="宋体" w:cs="宋体"/>
          <w:color w:val="000000"/>
          <w:kern w:val="0"/>
          <w:sz w:val="24"/>
          <w:highlight w:val="none"/>
          <w:u w:color="000000"/>
          <w:lang w:bidi="ar"/>
        </w:rPr>
        <w:t>元</w:t>
      </w:r>
    </w:p>
    <w:p w14:paraId="5EA40B33">
      <w:pPr>
        <w:spacing w:line="480" w:lineRule="exact"/>
        <w:ind w:firstLine="480" w:firstLineChars="200"/>
        <w:rPr>
          <w:rFonts w:hint="eastAsia" w:ascii="宋体" w:hAnsi="宋体" w:eastAsia="宋体" w:cs="宋体"/>
          <w:color w:val="000000"/>
          <w:kern w:val="0"/>
          <w:sz w:val="24"/>
          <w:highlight w:val="none"/>
          <w:u w:color="000000"/>
          <w:lang w:eastAsia="zh-CN" w:bidi="ar"/>
        </w:rPr>
      </w:pPr>
      <w:r>
        <w:rPr>
          <w:rFonts w:hint="eastAsia" w:ascii="宋体" w:hAnsi="宋体" w:eastAsia="宋体" w:cs="宋体"/>
          <w:sz w:val="24"/>
          <w:szCs w:val="24"/>
          <w:highlight w:val="none"/>
          <w:lang w:val="en-US" w:eastAsia="zh-CN"/>
        </w:rPr>
        <w:t>采购需求</w:t>
      </w:r>
      <w:r>
        <w:rPr>
          <w:rFonts w:hint="eastAsia" w:ascii="宋体" w:hAnsi="宋体" w:eastAsia="宋体" w:cs="宋体"/>
          <w:color w:val="000000"/>
          <w:kern w:val="0"/>
          <w:sz w:val="24"/>
          <w:highlight w:val="none"/>
          <w:u w:color="000000"/>
          <w:lang w:bidi="ar"/>
        </w:rPr>
        <w:t>：</w:t>
      </w:r>
      <w:r>
        <w:rPr>
          <w:rFonts w:hint="eastAsia" w:ascii="宋体" w:hAnsi="宋体" w:eastAsia="宋体" w:cs="宋体"/>
          <w:color w:val="000000"/>
          <w:kern w:val="0"/>
          <w:sz w:val="24"/>
          <w:highlight w:val="none"/>
          <w:u w:color="000000"/>
          <w:lang w:val="en-US" w:eastAsia="zh-CN" w:bidi="ar"/>
        </w:rPr>
        <w:t>运营公司（包含滁宁城际铁路全线、控制中心、车辆段）标识标牌及VI现场测量、设计、制作、运输、安装和维护，以及《运营公司VI手册》的编制与更新</w:t>
      </w:r>
      <w:r>
        <w:rPr>
          <w:rFonts w:hint="eastAsia" w:ascii="宋体" w:hAnsi="宋体" w:eastAsia="宋体" w:cs="宋体"/>
          <w:color w:val="000000"/>
          <w:kern w:val="0"/>
          <w:sz w:val="24"/>
          <w:highlight w:val="none"/>
          <w:u w:color="000000"/>
          <w:lang w:bidi="ar"/>
        </w:rPr>
        <w:t>详见《用户需求书》</w:t>
      </w:r>
      <w:r>
        <w:rPr>
          <w:rFonts w:hint="eastAsia" w:ascii="宋体" w:hAnsi="宋体" w:eastAsia="宋体" w:cs="宋体"/>
          <w:color w:val="000000"/>
          <w:kern w:val="0"/>
          <w:sz w:val="24"/>
          <w:highlight w:val="none"/>
          <w:u w:color="000000"/>
          <w:lang w:eastAsia="zh-CN" w:bidi="ar"/>
        </w:rPr>
        <w:t>。</w:t>
      </w:r>
    </w:p>
    <w:p w14:paraId="36F5720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服务期：</w:t>
      </w:r>
      <w:r>
        <w:rPr>
          <w:rFonts w:hint="eastAsia" w:ascii="宋体" w:hAnsi="宋体" w:eastAsia="宋体" w:cs="宋体"/>
          <w:color w:val="auto"/>
          <w:sz w:val="24"/>
          <w:szCs w:val="24"/>
          <w:highlight w:val="none"/>
          <w:lang w:val="en-US" w:eastAsia="zh-CN"/>
        </w:rPr>
        <w:t>1年，具体起始时间以合同签订时间为准。</w:t>
      </w:r>
    </w:p>
    <w:p w14:paraId="65D3AAE2">
      <w:pPr>
        <w:spacing w:line="480" w:lineRule="exact"/>
        <w:ind w:firstLine="480" w:firstLineChars="200"/>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本项目不接受联合体投标</w:t>
      </w:r>
    </w:p>
    <w:p w14:paraId="289A76E2">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14:paraId="6894E60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kern w:val="0"/>
          <w:sz w:val="24"/>
          <w:szCs w:val="24"/>
          <w:highlight w:val="none"/>
          <w:lang w:eastAsia="zh-CN"/>
        </w:rPr>
      </w:pPr>
      <w:r>
        <w:rPr>
          <w:rFonts w:hint="eastAsia" w:ascii="宋体" w:hAnsi="宋体"/>
          <w:kern w:val="0"/>
          <w:sz w:val="24"/>
          <w:szCs w:val="24"/>
          <w:highlight w:val="none"/>
        </w:rPr>
        <w:t>投标人须在中华人民共和国境内注册（不含港澳台）并取得营业执照且具有相应</w:t>
      </w:r>
      <w:r>
        <w:rPr>
          <w:rFonts w:hint="eastAsia" w:ascii="宋体" w:hAnsi="宋体"/>
          <w:kern w:val="0"/>
          <w:sz w:val="24"/>
          <w:szCs w:val="24"/>
          <w:highlight w:val="none"/>
          <w:lang w:val="en-US" w:eastAsia="zh-CN"/>
        </w:rPr>
        <w:t>供货</w:t>
      </w:r>
      <w:r>
        <w:rPr>
          <w:rFonts w:hint="eastAsia" w:ascii="宋体" w:hAnsi="宋体"/>
          <w:kern w:val="0"/>
          <w:sz w:val="24"/>
          <w:szCs w:val="24"/>
          <w:highlight w:val="none"/>
        </w:rPr>
        <w:t>服务能力</w:t>
      </w:r>
      <w:r>
        <w:rPr>
          <w:rFonts w:hint="eastAsia" w:ascii="宋体" w:hAnsi="宋体"/>
          <w:kern w:val="0"/>
          <w:sz w:val="24"/>
          <w:szCs w:val="24"/>
          <w:highlight w:val="none"/>
          <w:lang w:eastAsia="zh-CN"/>
        </w:rPr>
        <w:t>。</w:t>
      </w:r>
    </w:p>
    <w:p w14:paraId="6057664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14:paraId="7DC2AEE5">
      <w:pPr>
        <w:widowControl/>
        <w:autoSpaceDE w:val="0"/>
        <w:spacing w:line="480" w:lineRule="exact"/>
        <w:ind w:firstLine="54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w:t>
      </w:r>
      <w:r>
        <w:rPr>
          <w:rFonts w:hint="eastAsia" w:ascii="宋体" w:hAnsi="宋体" w:eastAsia="宋体" w:cs="宋体"/>
          <w:color w:val="000000"/>
          <w:kern w:val="0"/>
          <w:sz w:val="24"/>
          <w:highlight w:val="none"/>
          <w:u w:val="single" w:color="000000"/>
          <w:lang w:val="en-US" w:eastAsia="zh-CN" w:bidi="ar"/>
        </w:rPr>
        <w:t>6</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7</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28</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w:t>
      </w:r>
      <w:r>
        <w:rPr>
          <w:rFonts w:hint="eastAsia" w:ascii="宋体" w:hAnsi="宋体" w:eastAsia="宋体" w:cs="宋体"/>
          <w:color w:val="000000"/>
          <w:kern w:val="0"/>
          <w:sz w:val="24"/>
          <w:highlight w:val="none"/>
          <w:u w:val="single" w:color="000000"/>
          <w:lang w:val="en-US" w:eastAsia="zh-CN" w:bidi="ar"/>
        </w:rPr>
        <w:t>6</w:t>
      </w:r>
      <w:r>
        <w:rPr>
          <w:rFonts w:hint="eastAsia" w:ascii="宋体" w:hAnsi="宋体" w:eastAsia="宋体" w:cs="宋体"/>
          <w:color w:val="000000"/>
          <w:kern w:val="0"/>
          <w:sz w:val="24"/>
          <w:highlight w:val="none"/>
          <w:u w:val="single" w:color="000000"/>
          <w:lang w:bidi="ar"/>
        </w:rPr>
        <w:t>年</w:t>
      </w:r>
      <w:r>
        <w:rPr>
          <w:rFonts w:hint="eastAsia" w:ascii="宋体" w:hAnsi="宋体" w:eastAsia="宋体" w:cs="宋体"/>
          <w:color w:val="000000"/>
          <w:kern w:val="0"/>
          <w:sz w:val="24"/>
          <w:highlight w:val="none"/>
          <w:u w:val="single" w:color="000000"/>
          <w:lang w:val="en-US" w:eastAsia="zh-CN" w:bidi="ar"/>
        </w:rPr>
        <w:t>8</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17</w:t>
      </w:r>
      <w:r>
        <w:rPr>
          <w:rFonts w:hint="eastAsia" w:ascii="宋体" w:hAnsi="宋体" w:eastAsia="宋体" w:cs="宋体"/>
          <w:color w:val="000000"/>
          <w:kern w:val="0"/>
          <w:sz w:val="24"/>
          <w:highlight w:val="none"/>
          <w:u w:val="single" w:color="000000"/>
          <w:lang w:bidi="ar"/>
        </w:rPr>
        <w:t>日</w:t>
      </w:r>
    </w:p>
    <w:p w14:paraId="41A8F2F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539"/>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地点：请于公告发布之日起从滁州市城投工程咨询管理有限公司网站（https://www.czctgczx.com/）下载。</w:t>
      </w:r>
    </w:p>
    <w:p w14:paraId="06D33B5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方式：（1）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74A643C0">
      <w:pPr>
        <w:keepNext w:val="0"/>
        <w:keepLines w:val="0"/>
        <w:pageBreakBefore w:val="0"/>
        <w:widowControl/>
        <w:numPr>
          <w:ilvl w:val="0"/>
          <w:numId w:val="1"/>
        </w:numPr>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投标人登录新点电子交易平台【滁州专区】获取招标文件及其它资料（含澄清和补充说明等）。如在招标文件获取过程中遇到系统问题，请拨打技术支持服务热线0512-58151515或者网站首页在线客服。</w:t>
      </w:r>
    </w:p>
    <w:p w14:paraId="5903B140">
      <w:pPr>
        <w:widowControl/>
        <w:autoSpaceDE w:val="0"/>
        <w:spacing w:line="480" w:lineRule="exact"/>
        <w:ind w:firstLine="54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14:paraId="46A65AD5">
      <w:pPr>
        <w:widowControl/>
        <w:wordWrap w:val="0"/>
        <w:autoSpaceDE w:val="0"/>
        <w:spacing w:line="480" w:lineRule="exact"/>
        <w:ind w:firstLine="480" w:firstLineChars="200"/>
        <w:rPr>
          <w:rFonts w:ascii="宋体" w:hAnsi="宋体" w:eastAsia="宋体" w:cs="宋体"/>
          <w:b/>
          <w:sz w:val="24"/>
          <w:highlight w:val="none"/>
        </w:rPr>
      </w:pPr>
      <w:bookmarkStart w:id="10" w:name="_Toc28359005"/>
      <w:bookmarkEnd w:id="10"/>
      <w:bookmarkStart w:id="11" w:name="_Toc35393793"/>
      <w:bookmarkEnd w:id="11"/>
      <w:bookmarkStart w:id="12" w:name="_Toc58430308"/>
      <w:bookmarkEnd w:id="12"/>
      <w:bookmarkStart w:id="13" w:name="_Toc28359082"/>
      <w:bookmarkEnd w:id="13"/>
      <w:r>
        <w:rPr>
          <w:rFonts w:hint="eastAsia" w:ascii="宋体" w:hAnsi="宋体" w:cs="宋体"/>
          <w:b/>
          <w:sz w:val="24"/>
          <w:highlight w:val="none"/>
        </w:rPr>
        <w:t>四、提交投标文件和样品截止时间、开标时间和地点</w:t>
      </w:r>
    </w:p>
    <w:p w14:paraId="17C02B52">
      <w:pPr>
        <w:widowControl/>
        <w:autoSpaceDE w:val="0"/>
        <w:spacing w:line="240" w:lineRule="auto"/>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6</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8</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17</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6E116C6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投标文件递交方式：本项目仅接受投标人在投标截止时间前登录新点电子交易平台【滁州专区】（https://www.etrading.cn/BREpointSSO/login/oauth2login?regioncode=DQ_ChuZhou）交易系统递交的加密电子投标文件。</w:t>
      </w:r>
    </w:p>
    <w:p w14:paraId="2EED6645">
      <w:pPr>
        <w:spacing w:line="480" w:lineRule="exact"/>
        <w:ind w:firstLine="480" w:firstLineChars="200"/>
        <w:rPr>
          <w:rFonts w:ascii="宋体" w:hAnsi="宋体" w:cs="宋体"/>
          <w:sz w:val="24"/>
          <w:highlight w:val="none"/>
        </w:rPr>
      </w:pPr>
      <w:r>
        <w:rPr>
          <w:rFonts w:hint="eastAsia" w:ascii="宋体" w:hAnsi="宋体" w:cs="宋体"/>
          <w:sz w:val="24"/>
          <w:highlight w:val="none"/>
        </w:rPr>
        <w:t>样品递交方式：①本项目须提供不同的3件样品（详见</w:t>
      </w:r>
      <w:r>
        <w:rPr>
          <w:rFonts w:hint="eastAsia" w:ascii="宋体" w:hAnsi="宋体" w:cs="宋体"/>
          <w:sz w:val="24"/>
          <w:highlight w:val="none"/>
          <w:lang w:val="en-US" w:eastAsia="zh-CN"/>
        </w:rPr>
        <w:t>下表：</w:t>
      </w:r>
      <w:r>
        <w:rPr>
          <w:rFonts w:hint="eastAsia" w:ascii="宋体" w:hAnsi="宋体" w:cs="宋体"/>
          <w:sz w:val="24"/>
          <w:highlight w:val="none"/>
        </w:rPr>
        <w:t>样品清单 ），所有样品须全部一次性递交，不接受样品的修改及补充，提供不全的样品评分项按零分处理；各投标人务必在规定的时间内递交，时间以</w:t>
      </w:r>
      <w:r>
        <w:rPr>
          <w:rFonts w:hint="eastAsia" w:ascii="宋体" w:hAnsi="宋体" w:cs="宋体"/>
          <w:sz w:val="24"/>
          <w:highlight w:val="none"/>
          <w:lang w:val="en-US" w:eastAsia="zh-CN"/>
        </w:rPr>
        <w:t>招标代理</w:t>
      </w:r>
      <w:r>
        <w:rPr>
          <w:rFonts w:hint="eastAsia" w:ascii="宋体" w:hAnsi="宋体" w:cs="宋体"/>
          <w:sz w:val="24"/>
          <w:highlight w:val="none"/>
        </w:rPr>
        <w:t>签收时间为准，逾期送达的将被拒绝，样品评分项按零分处理，请各投标人自行合理安排邮寄时间；</w:t>
      </w:r>
    </w:p>
    <w:p w14:paraId="33BE0D01">
      <w:pPr>
        <w:spacing w:line="480" w:lineRule="exact"/>
        <w:ind w:firstLine="480" w:firstLineChars="200"/>
        <w:rPr>
          <w:rFonts w:ascii="宋体" w:hAnsi="宋体" w:cs="宋体"/>
          <w:sz w:val="24"/>
          <w:highlight w:val="none"/>
        </w:rPr>
      </w:pPr>
      <w:r>
        <w:rPr>
          <w:rFonts w:hint="eastAsia" w:ascii="宋体" w:hAnsi="宋体" w:cs="宋体"/>
          <w:sz w:val="24"/>
          <w:highlight w:val="none"/>
        </w:rPr>
        <w:t>②样品须使用顺丰快递密封送达至规定地点。</w:t>
      </w:r>
      <w:r>
        <w:rPr>
          <w:rFonts w:hint="eastAsia" w:ascii="宋体" w:hAnsi="宋体" w:cs="宋体"/>
          <w:sz w:val="24"/>
          <w:szCs w:val="24"/>
          <w:highlight w:val="none"/>
        </w:rPr>
        <w:t>样品邮寄地址：</w:t>
      </w:r>
      <w:r>
        <w:rPr>
          <w:rFonts w:hint="eastAsia" w:ascii="Times New Roman" w:hAnsi="Times New Roman" w:eastAsia="宋体" w:cs="Times New Roman"/>
          <w:b/>
          <w:color w:val="000000"/>
          <w:sz w:val="24"/>
          <w:szCs w:val="24"/>
          <w:highlight w:val="none"/>
          <w:lang w:val="en-US" w:eastAsia="zh-CN"/>
        </w:rPr>
        <w:t>滁州市南谯区龙蟠大道109号房产大厦6楼605室，收件人：周蓓蕾，联系方式：18005505728</w:t>
      </w:r>
      <w:r>
        <w:rPr>
          <w:rFonts w:hint="eastAsia" w:ascii="宋体" w:hAnsi="宋体" w:cs="宋体"/>
          <w:sz w:val="24"/>
          <w:highlight w:val="none"/>
        </w:rPr>
        <w:t>，未使用顺丰快递送达的或未按要求密封的将被拒绝，样品评分项按零分处理。</w:t>
      </w:r>
    </w:p>
    <w:p w14:paraId="72230D8B">
      <w:pPr>
        <w:spacing w:line="480" w:lineRule="exact"/>
        <w:ind w:firstLine="480" w:firstLineChars="200"/>
        <w:rPr>
          <w:rFonts w:ascii="宋体" w:hAnsi="宋体" w:cs="宋体"/>
          <w:sz w:val="24"/>
          <w:highlight w:val="none"/>
        </w:rPr>
      </w:pPr>
      <w:r>
        <w:rPr>
          <w:rFonts w:hint="eastAsia" w:ascii="宋体" w:hAnsi="宋体" w:cs="宋体"/>
          <w:sz w:val="24"/>
          <w:highlight w:val="none"/>
        </w:rPr>
        <w:t>③每个样品须在尾部分别标注对应序号。</w:t>
      </w:r>
    </w:p>
    <w:p w14:paraId="3EFD2B17">
      <w:pPr>
        <w:spacing w:line="480" w:lineRule="exact"/>
        <w:ind w:firstLine="480" w:firstLineChars="200"/>
        <w:rPr>
          <w:rFonts w:ascii="宋体" w:hAnsi="宋体" w:cs="宋体"/>
          <w:sz w:val="24"/>
          <w:highlight w:val="none"/>
        </w:rPr>
      </w:pPr>
      <w:r>
        <w:rPr>
          <w:rFonts w:hint="eastAsia" w:ascii="宋体" w:hAnsi="宋体" w:cs="宋体"/>
          <w:sz w:val="24"/>
          <w:highlight w:val="none"/>
        </w:rPr>
        <w:t>④样品密封要求：样品需进行密封，否则样品得分按零分处理；在密封箱中放置加盖投标单位公章的样品清单，便于区分投标单位信息及后期核对样品。</w:t>
      </w:r>
    </w:p>
    <w:p w14:paraId="616D02B3">
      <w:pPr>
        <w:spacing w:line="480" w:lineRule="exact"/>
        <w:ind w:firstLine="480" w:firstLineChars="200"/>
        <w:rPr>
          <w:rFonts w:ascii="宋体" w:hAnsi="宋体" w:cs="宋体"/>
          <w:sz w:val="24"/>
          <w:highlight w:val="none"/>
        </w:rPr>
      </w:pPr>
      <w:r>
        <w:rPr>
          <w:rFonts w:hint="eastAsia" w:ascii="宋体" w:hAnsi="宋体" w:cs="宋体"/>
          <w:sz w:val="24"/>
          <w:highlight w:val="none"/>
        </w:rPr>
        <w:t>⑤未中标的投标人样品在公示期结束后由未中标人自行取回或选择邮件退回（顺丰到付），逾期</w:t>
      </w:r>
      <w:r>
        <w:rPr>
          <w:rFonts w:hint="eastAsia" w:ascii="宋体" w:hAnsi="宋体" w:cs="宋体"/>
          <w:sz w:val="24"/>
          <w:highlight w:val="none"/>
          <w:lang w:val="en-US" w:eastAsia="zh-CN"/>
        </w:rPr>
        <w:t>招标代理</w:t>
      </w:r>
      <w:r>
        <w:rPr>
          <w:rFonts w:hint="eastAsia" w:ascii="宋体" w:hAnsi="宋体" w:cs="宋体"/>
          <w:sz w:val="24"/>
          <w:highlight w:val="none"/>
        </w:rPr>
        <w:t>将不负责保管；中标人提供的样品在公示期结束后封存在</w:t>
      </w:r>
      <w:r>
        <w:rPr>
          <w:rFonts w:hint="eastAsia" w:ascii="宋体" w:hAnsi="宋体" w:cs="宋体"/>
          <w:sz w:val="24"/>
          <w:highlight w:val="none"/>
          <w:lang w:val="en-US" w:eastAsia="zh-CN"/>
        </w:rPr>
        <w:t>招标代理</w:t>
      </w:r>
      <w:r>
        <w:rPr>
          <w:rFonts w:hint="eastAsia" w:ascii="宋体" w:hAnsi="宋体" w:cs="宋体"/>
          <w:sz w:val="24"/>
          <w:highlight w:val="none"/>
        </w:rPr>
        <w:t>处。</w:t>
      </w:r>
    </w:p>
    <w:p w14:paraId="76A4BDBE">
      <w:pPr>
        <w:spacing w:line="480" w:lineRule="exact"/>
        <w:ind w:firstLine="480" w:firstLineChars="200"/>
        <w:rPr>
          <w:rFonts w:ascii="宋体" w:hAnsi="宋体" w:cs="宋体"/>
          <w:sz w:val="24"/>
          <w:highlight w:val="none"/>
        </w:rPr>
      </w:pPr>
      <w:r>
        <w:rPr>
          <w:rFonts w:hint="eastAsia" w:ascii="宋体" w:hAnsi="宋体" w:cs="宋体"/>
          <w:sz w:val="24"/>
          <w:highlight w:val="none"/>
        </w:rPr>
        <w:t>样品清单：</w:t>
      </w:r>
    </w:p>
    <w:tbl>
      <w:tblPr>
        <w:tblStyle w:val="19"/>
        <w:tblW w:w="8022" w:type="dxa"/>
        <w:jc w:val="center"/>
        <w:tblLayout w:type="fixed"/>
        <w:tblCellMar>
          <w:top w:w="0" w:type="dxa"/>
          <w:left w:w="108" w:type="dxa"/>
          <w:bottom w:w="0" w:type="dxa"/>
          <w:right w:w="108" w:type="dxa"/>
        </w:tblCellMar>
      </w:tblPr>
      <w:tblGrid>
        <w:gridCol w:w="782"/>
        <w:gridCol w:w="4996"/>
        <w:gridCol w:w="834"/>
        <w:gridCol w:w="1410"/>
      </w:tblGrid>
      <w:tr w14:paraId="35B55B56">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410271A9">
            <w:pPr>
              <w:spacing w:line="480" w:lineRule="exact"/>
              <w:jc w:val="center"/>
              <w:rPr>
                <w:rFonts w:ascii="宋体" w:hAnsi="宋体" w:cs="宋体"/>
                <w:sz w:val="24"/>
                <w:highlight w:val="none"/>
              </w:rPr>
            </w:pPr>
            <w:r>
              <w:rPr>
                <w:rFonts w:hint="eastAsia" w:ascii="宋体" w:hAnsi="宋体" w:cs="宋体"/>
                <w:sz w:val="24"/>
                <w:highlight w:val="none"/>
              </w:rPr>
              <w:t>序号</w:t>
            </w:r>
          </w:p>
        </w:tc>
        <w:tc>
          <w:tcPr>
            <w:tcW w:w="4996" w:type="dxa"/>
            <w:tcBorders>
              <w:top w:val="single" w:color="auto" w:sz="4" w:space="0"/>
              <w:left w:val="single" w:color="auto" w:sz="4" w:space="0"/>
              <w:bottom w:val="single" w:color="auto" w:sz="4" w:space="0"/>
              <w:right w:val="single" w:color="auto" w:sz="4" w:space="0"/>
            </w:tcBorders>
            <w:noWrap/>
            <w:vAlign w:val="center"/>
          </w:tcPr>
          <w:p w14:paraId="26E7D0A7">
            <w:pPr>
              <w:spacing w:line="480" w:lineRule="exact"/>
              <w:ind w:firstLine="480" w:firstLineChars="200"/>
              <w:jc w:val="center"/>
              <w:rPr>
                <w:rFonts w:ascii="宋体" w:hAnsi="宋体" w:cs="宋体"/>
                <w:sz w:val="24"/>
                <w:highlight w:val="none"/>
              </w:rPr>
            </w:pPr>
            <w:r>
              <w:rPr>
                <w:rFonts w:hint="eastAsia" w:ascii="宋体" w:hAnsi="宋体" w:cs="宋体"/>
                <w:sz w:val="24"/>
                <w:highlight w:val="none"/>
              </w:rPr>
              <w:t>名称</w:t>
            </w:r>
          </w:p>
        </w:tc>
        <w:tc>
          <w:tcPr>
            <w:tcW w:w="834" w:type="dxa"/>
            <w:tcBorders>
              <w:top w:val="single" w:color="auto" w:sz="4" w:space="0"/>
              <w:left w:val="nil"/>
              <w:bottom w:val="single" w:color="auto" w:sz="4" w:space="0"/>
              <w:right w:val="single" w:color="auto" w:sz="4" w:space="0"/>
            </w:tcBorders>
            <w:vAlign w:val="center"/>
          </w:tcPr>
          <w:p w14:paraId="2EB6B0E6">
            <w:pPr>
              <w:spacing w:line="480" w:lineRule="exact"/>
              <w:jc w:val="center"/>
              <w:rPr>
                <w:rFonts w:ascii="宋体" w:hAnsi="宋体" w:cs="宋体"/>
                <w:sz w:val="24"/>
                <w:highlight w:val="none"/>
              </w:rPr>
            </w:pPr>
            <w:r>
              <w:rPr>
                <w:rFonts w:hint="eastAsia" w:ascii="宋体" w:hAnsi="宋体" w:cs="宋体"/>
                <w:sz w:val="24"/>
                <w:highlight w:val="none"/>
              </w:rPr>
              <w:t>单位</w:t>
            </w:r>
          </w:p>
        </w:tc>
        <w:tc>
          <w:tcPr>
            <w:tcW w:w="1410" w:type="dxa"/>
            <w:tcBorders>
              <w:top w:val="single" w:color="auto" w:sz="4" w:space="0"/>
              <w:left w:val="single" w:color="auto" w:sz="4" w:space="0"/>
              <w:bottom w:val="single" w:color="auto" w:sz="4" w:space="0"/>
              <w:right w:val="single" w:color="auto" w:sz="4" w:space="0"/>
            </w:tcBorders>
            <w:noWrap/>
            <w:vAlign w:val="center"/>
          </w:tcPr>
          <w:p w14:paraId="7AEBF014">
            <w:pPr>
              <w:spacing w:line="480" w:lineRule="exact"/>
              <w:jc w:val="center"/>
              <w:rPr>
                <w:rFonts w:ascii="宋体" w:hAnsi="宋体" w:cs="宋体"/>
                <w:sz w:val="24"/>
                <w:highlight w:val="none"/>
              </w:rPr>
            </w:pPr>
            <w:r>
              <w:rPr>
                <w:rFonts w:hint="eastAsia" w:ascii="宋体" w:hAnsi="宋体" w:cs="宋体"/>
                <w:sz w:val="24"/>
                <w:highlight w:val="none"/>
              </w:rPr>
              <w:t>数量</w:t>
            </w:r>
          </w:p>
        </w:tc>
      </w:tr>
      <w:tr w14:paraId="17458B95">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00266428">
            <w:pPr>
              <w:spacing w:line="480" w:lineRule="exact"/>
              <w:jc w:val="center"/>
              <w:rPr>
                <w:rFonts w:ascii="宋体" w:hAnsi="宋体" w:cs="宋体"/>
                <w:sz w:val="24"/>
                <w:highlight w:val="none"/>
              </w:rPr>
            </w:pPr>
            <w:r>
              <w:rPr>
                <w:rFonts w:hint="eastAsia" w:ascii="宋体" w:hAnsi="宋体" w:cs="宋体"/>
                <w:sz w:val="24"/>
                <w:highlight w:val="none"/>
              </w:rPr>
              <w:t>1</w:t>
            </w:r>
          </w:p>
        </w:tc>
        <w:tc>
          <w:tcPr>
            <w:tcW w:w="4996" w:type="dxa"/>
            <w:tcBorders>
              <w:top w:val="single" w:color="auto" w:sz="4" w:space="0"/>
              <w:left w:val="single" w:color="auto" w:sz="4" w:space="0"/>
              <w:bottom w:val="single" w:color="auto" w:sz="4" w:space="0"/>
              <w:right w:val="single" w:color="auto" w:sz="4" w:space="0"/>
            </w:tcBorders>
            <w:noWrap/>
            <w:vAlign w:val="center"/>
          </w:tcPr>
          <w:p w14:paraId="658E85EC">
            <w:pPr>
              <w:spacing w:line="480" w:lineRule="exact"/>
              <w:jc w:val="center"/>
              <w:rPr>
                <w:rFonts w:hint="eastAsia" w:ascii="宋体" w:hAnsi="宋体" w:cs="宋体"/>
                <w:sz w:val="24"/>
                <w:highlight w:val="none"/>
                <w:lang w:eastAsia="zh-CN"/>
              </w:rPr>
            </w:pPr>
            <w:r>
              <w:rPr>
                <w:rFonts w:hint="eastAsia" w:ascii="宋体" w:hAnsi="宋体" w:cs="宋体"/>
                <w:sz w:val="24"/>
                <w:highlight w:val="none"/>
              </w:rPr>
              <w:t>可移除胶贴+画面+保护膜（</w:t>
            </w:r>
            <w:r>
              <w:rPr>
                <w:rFonts w:hint="eastAsia" w:ascii="宋体" w:hAnsi="宋体" w:cs="宋体"/>
                <w:sz w:val="24"/>
                <w:highlight w:val="none"/>
                <w:lang w:val="en-US" w:eastAsia="zh-CN"/>
              </w:rPr>
              <w:t>画面为国标当心碰头样式，尺寸大小为A4</w:t>
            </w:r>
            <w:r>
              <w:rPr>
                <w:rFonts w:hint="eastAsia" w:ascii="宋体" w:hAnsi="宋体" w:cs="宋体"/>
                <w:sz w:val="24"/>
                <w:highlight w:val="none"/>
              </w:rPr>
              <w:t>）</w:t>
            </w:r>
          </w:p>
        </w:tc>
        <w:tc>
          <w:tcPr>
            <w:tcW w:w="834" w:type="dxa"/>
            <w:tcBorders>
              <w:top w:val="single" w:color="auto" w:sz="4" w:space="0"/>
              <w:left w:val="nil"/>
              <w:bottom w:val="single" w:color="auto" w:sz="4" w:space="0"/>
              <w:right w:val="single" w:color="auto" w:sz="4" w:space="0"/>
            </w:tcBorders>
            <w:vAlign w:val="center"/>
          </w:tcPr>
          <w:p w14:paraId="168A5C95">
            <w:pPr>
              <w:spacing w:line="480" w:lineRule="exact"/>
              <w:jc w:val="center"/>
              <w:rPr>
                <w:rFonts w:ascii="宋体" w:hAnsi="宋体" w:cs="宋体"/>
                <w:sz w:val="24"/>
                <w:highlight w:val="none"/>
              </w:rPr>
            </w:pPr>
            <w:r>
              <w:rPr>
                <w:rFonts w:hint="eastAsia" w:ascii="宋体" w:hAnsi="宋体" w:cs="宋体"/>
                <w:sz w:val="24"/>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02978B5F">
            <w:pPr>
              <w:spacing w:line="480" w:lineRule="exact"/>
              <w:jc w:val="center"/>
              <w:rPr>
                <w:rFonts w:ascii="宋体" w:hAnsi="宋体" w:cs="宋体"/>
                <w:sz w:val="24"/>
                <w:highlight w:val="none"/>
              </w:rPr>
            </w:pPr>
            <w:r>
              <w:rPr>
                <w:rFonts w:hint="eastAsia" w:ascii="宋体" w:hAnsi="宋体" w:cs="宋体"/>
                <w:sz w:val="24"/>
                <w:highlight w:val="none"/>
              </w:rPr>
              <w:t>1</w:t>
            </w:r>
          </w:p>
        </w:tc>
      </w:tr>
      <w:tr w14:paraId="6FAE86A0">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3732BF18">
            <w:pPr>
              <w:spacing w:line="480" w:lineRule="exact"/>
              <w:jc w:val="center"/>
              <w:rPr>
                <w:rFonts w:ascii="宋体" w:hAnsi="宋体" w:cs="宋体"/>
                <w:sz w:val="24"/>
                <w:highlight w:val="none"/>
              </w:rPr>
            </w:pPr>
            <w:r>
              <w:rPr>
                <w:rFonts w:hint="eastAsia" w:ascii="宋体" w:hAnsi="宋体" w:cs="宋体"/>
                <w:sz w:val="24"/>
                <w:highlight w:val="none"/>
              </w:rPr>
              <w:t>2</w:t>
            </w:r>
          </w:p>
        </w:tc>
        <w:tc>
          <w:tcPr>
            <w:tcW w:w="4996" w:type="dxa"/>
            <w:tcBorders>
              <w:top w:val="single" w:color="auto" w:sz="4" w:space="0"/>
              <w:left w:val="single" w:color="auto" w:sz="4" w:space="0"/>
              <w:bottom w:val="single" w:color="auto" w:sz="4" w:space="0"/>
              <w:right w:val="single" w:color="auto" w:sz="4" w:space="0"/>
            </w:tcBorders>
            <w:noWrap/>
            <w:vAlign w:val="center"/>
          </w:tcPr>
          <w:p w14:paraId="7642E4C1">
            <w:pPr>
              <w:spacing w:line="480" w:lineRule="exact"/>
              <w:jc w:val="center"/>
              <w:rPr>
                <w:rFonts w:ascii="宋体" w:hAnsi="宋体" w:cs="宋体"/>
                <w:sz w:val="24"/>
                <w:highlight w:val="none"/>
              </w:rPr>
            </w:pPr>
            <w:r>
              <w:rPr>
                <w:rFonts w:hint="eastAsia" w:ascii="宋体" w:hAnsi="宋体" w:cs="宋体"/>
                <w:sz w:val="24"/>
                <w:highlight w:val="none"/>
              </w:rPr>
              <w:t>2㎜铝板+工程反光膜+刻字（画面为国标禁止攀爬，尺寸</w:t>
            </w:r>
            <w:r>
              <w:rPr>
                <w:rFonts w:hint="eastAsia" w:ascii="宋体" w:hAnsi="宋体" w:cs="宋体"/>
                <w:sz w:val="24"/>
                <w:highlight w:val="none"/>
                <w:lang w:val="en-US" w:eastAsia="zh-CN"/>
              </w:rPr>
              <w:t>大小</w:t>
            </w:r>
            <w:r>
              <w:rPr>
                <w:rFonts w:hint="eastAsia" w:ascii="宋体" w:hAnsi="宋体" w:cs="宋体"/>
                <w:sz w:val="24"/>
                <w:highlight w:val="none"/>
              </w:rPr>
              <w:t>为A4）</w:t>
            </w:r>
          </w:p>
        </w:tc>
        <w:tc>
          <w:tcPr>
            <w:tcW w:w="834" w:type="dxa"/>
            <w:tcBorders>
              <w:top w:val="single" w:color="auto" w:sz="4" w:space="0"/>
              <w:left w:val="nil"/>
              <w:bottom w:val="single" w:color="auto" w:sz="4" w:space="0"/>
              <w:right w:val="single" w:color="auto" w:sz="4" w:space="0"/>
            </w:tcBorders>
            <w:vAlign w:val="center"/>
          </w:tcPr>
          <w:p w14:paraId="020E37F2">
            <w:pPr>
              <w:spacing w:line="480" w:lineRule="exact"/>
              <w:jc w:val="center"/>
              <w:rPr>
                <w:rFonts w:ascii="宋体" w:hAnsi="宋体" w:cs="宋体"/>
                <w:sz w:val="24"/>
                <w:highlight w:val="none"/>
              </w:rPr>
            </w:pPr>
            <w:r>
              <w:rPr>
                <w:rFonts w:hint="eastAsia" w:ascii="宋体" w:hAnsi="宋体" w:cs="宋体"/>
                <w:sz w:val="24"/>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5C59286D">
            <w:pPr>
              <w:spacing w:line="480" w:lineRule="exact"/>
              <w:jc w:val="center"/>
              <w:rPr>
                <w:rFonts w:ascii="宋体" w:hAnsi="宋体" w:cs="宋体"/>
                <w:sz w:val="24"/>
                <w:highlight w:val="none"/>
              </w:rPr>
            </w:pPr>
            <w:r>
              <w:rPr>
                <w:rFonts w:hint="eastAsia" w:ascii="宋体" w:hAnsi="宋体" w:cs="宋体"/>
                <w:sz w:val="24"/>
                <w:highlight w:val="none"/>
              </w:rPr>
              <w:t>1</w:t>
            </w:r>
          </w:p>
        </w:tc>
      </w:tr>
      <w:tr w14:paraId="7F50B396">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2AD6E974">
            <w:pPr>
              <w:spacing w:line="480" w:lineRule="exact"/>
              <w:jc w:val="center"/>
              <w:rPr>
                <w:rFonts w:ascii="宋体" w:hAnsi="宋体" w:cs="宋体"/>
                <w:sz w:val="24"/>
                <w:highlight w:val="none"/>
              </w:rPr>
            </w:pPr>
            <w:r>
              <w:rPr>
                <w:rFonts w:hint="eastAsia" w:ascii="宋体" w:hAnsi="宋体" w:cs="宋体"/>
                <w:sz w:val="24"/>
                <w:highlight w:val="none"/>
              </w:rPr>
              <w:t>3</w:t>
            </w:r>
          </w:p>
        </w:tc>
        <w:tc>
          <w:tcPr>
            <w:tcW w:w="4996" w:type="dxa"/>
            <w:tcBorders>
              <w:top w:val="single" w:color="auto" w:sz="4" w:space="0"/>
              <w:left w:val="single" w:color="auto" w:sz="4" w:space="0"/>
              <w:bottom w:val="single" w:color="auto" w:sz="4" w:space="0"/>
              <w:right w:val="single" w:color="auto" w:sz="4" w:space="0"/>
            </w:tcBorders>
            <w:noWrap/>
            <w:vAlign w:val="center"/>
          </w:tcPr>
          <w:p w14:paraId="4F7191B9">
            <w:pPr>
              <w:spacing w:line="480" w:lineRule="exact"/>
              <w:jc w:val="center"/>
              <w:rPr>
                <w:rFonts w:ascii="宋体" w:hAnsi="宋体" w:cs="宋体"/>
                <w:sz w:val="24"/>
                <w:highlight w:val="none"/>
              </w:rPr>
            </w:pPr>
            <w:r>
              <w:rPr>
                <w:rFonts w:hint="eastAsia" w:ascii="宋体" w:hAnsi="宋体" w:cs="宋体"/>
                <w:sz w:val="24"/>
                <w:highlight w:val="none"/>
              </w:rPr>
              <w:t>画面+保护膜+5㎜PVC底板+5㎜透明亚克力倒斜边（班组管理看板，画面自行设计，尺寸</w:t>
            </w:r>
            <w:r>
              <w:rPr>
                <w:rFonts w:hint="eastAsia" w:ascii="宋体" w:hAnsi="宋体" w:cs="宋体"/>
                <w:sz w:val="24"/>
                <w:highlight w:val="none"/>
                <w:lang w:val="en-US" w:eastAsia="zh-CN"/>
              </w:rPr>
              <w:t>大小</w:t>
            </w:r>
            <w:r>
              <w:rPr>
                <w:rFonts w:hint="eastAsia" w:ascii="宋体" w:hAnsi="宋体" w:cs="宋体"/>
                <w:sz w:val="24"/>
                <w:highlight w:val="none"/>
              </w:rPr>
              <w:t>为A4）</w:t>
            </w:r>
          </w:p>
        </w:tc>
        <w:tc>
          <w:tcPr>
            <w:tcW w:w="834" w:type="dxa"/>
            <w:tcBorders>
              <w:top w:val="single" w:color="auto" w:sz="4" w:space="0"/>
              <w:left w:val="nil"/>
              <w:bottom w:val="single" w:color="auto" w:sz="4" w:space="0"/>
              <w:right w:val="single" w:color="auto" w:sz="4" w:space="0"/>
            </w:tcBorders>
            <w:vAlign w:val="center"/>
          </w:tcPr>
          <w:p w14:paraId="2074BC58">
            <w:pPr>
              <w:spacing w:line="480" w:lineRule="exact"/>
              <w:jc w:val="center"/>
              <w:rPr>
                <w:rFonts w:ascii="宋体" w:hAnsi="宋体" w:cs="宋体"/>
                <w:sz w:val="24"/>
                <w:highlight w:val="none"/>
              </w:rPr>
            </w:pPr>
            <w:r>
              <w:rPr>
                <w:rFonts w:hint="eastAsia" w:ascii="宋体" w:hAnsi="宋体" w:cs="宋体"/>
                <w:sz w:val="24"/>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0A9712DB">
            <w:pPr>
              <w:spacing w:line="480" w:lineRule="exact"/>
              <w:jc w:val="center"/>
              <w:rPr>
                <w:rFonts w:ascii="宋体" w:hAnsi="宋体" w:cs="宋体"/>
                <w:sz w:val="24"/>
                <w:highlight w:val="none"/>
              </w:rPr>
            </w:pPr>
            <w:r>
              <w:rPr>
                <w:rFonts w:hint="eastAsia" w:ascii="宋体" w:hAnsi="宋体" w:cs="宋体"/>
                <w:sz w:val="24"/>
                <w:highlight w:val="none"/>
              </w:rPr>
              <w:t>1</w:t>
            </w:r>
          </w:p>
        </w:tc>
      </w:tr>
    </w:tbl>
    <w:p w14:paraId="08BAE55A">
      <w:pPr>
        <w:widowControl/>
        <w:wordWrap w:val="0"/>
        <w:autoSpaceDE w:val="0"/>
        <w:spacing w:line="480" w:lineRule="exact"/>
        <w:ind w:firstLine="480" w:firstLineChars="2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w:t>
      </w:r>
      <w:r>
        <w:rPr>
          <w:rFonts w:hint="eastAsia" w:ascii="宋体" w:hAnsi="宋体" w:eastAsia="宋体" w:cs="宋体"/>
          <w:bCs/>
          <w:color w:val="auto"/>
          <w:kern w:val="0"/>
          <w:sz w:val="24"/>
          <w:highlight w:val="none"/>
          <w:u w:color="000000"/>
          <w:lang w:val="en-US" w:eastAsia="zh-CN" w:bidi="ar"/>
        </w:rPr>
        <w:t>0.43</w:t>
      </w:r>
      <w:r>
        <w:rPr>
          <w:rFonts w:hint="eastAsia" w:ascii="宋体" w:hAnsi="宋体" w:eastAsia="宋体" w:cs="宋体"/>
          <w:bCs/>
          <w:color w:val="auto"/>
          <w:kern w:val="0"/>
          <w:sz w:val="24"/>
          <w:highlight w:val="none"/>
          <w:u w:color="000000"/>
          <w:lang w:bidi="ar"/>
        </w:rPr>
        <w:t>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滁州轨道运营VI标识标牌制作安装项目（2026年—2027年）</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widowControl/>
        <w:autoSpaceDE w:val="0"/>
        <w:spacing w:line="440" w:lineRule="exact"/>
        <w:ind w:firstLine="480" w:firstLineChars="200"/>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13C26228">
      <w:pPr>
        <w:widowControl/>
        <w:wordWrap w:val="0"/>
        <w:autoSpaceDE w:val="0"/>
        <w:spacing w:line="480" w:lineRule="exact"/>
        <w:ind w:firstLine="488" w:firstLineChars="200"/>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14:paraId="6423585F">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14:paraId="0A32F287">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14:paraId="1F74C4A8">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r>
        <w:rPr>
          <w:rFonts w:hint="eastAsia" w:ascii="宋体" w:hAnsi="宋体" w:eastAsia="宋体" w:cs="宋体"/>
          <w:bCs/>
          <w:color w:val="000000"/>
          <w:kern w:val="0"/>
          <w:sz w:val="24"/>
          <w:highlight w:val="none"/>
          <w:u w:color="000000"/>
          <w:lang w:eastAsia="zh-CN" w:bidi="ar"/>
        </w:rPr>
        <w:t>0550-335212</w:t>
      </w:r>
      <w:r>
        <w:rPr>
          <w:rFonts w:hint="eastAsia" w:ascii="宋体" w:hAnsi="宋体" w:eastAsia="宋体" w:cs="宋体"/>
          <w:bCs/>
          <w:color w:val="000000"/>
          <w:kern w:val="0"/>
          <w:sz w:val="24"/>
          <w:highlight w:val="none"/>
          <w:u w:color="000000"/>
          <w:lang w:val="en-US" w:eastAsia="zh-CN" w:bidi="ar"/>
        </w:rPr>
        <w:t>8</w:t>
      </w:r>
      <w:r>
        <w:rPr>
          <w:rFonts w:hint="eastAsia" w:ascii="宋体" w:hAnsi="宋体" w:eastAsia="宋体" w:cs="宋体"/>
          <w:bCs/>
          <w:color w:val="000000"/>
          <w:kern w:val="0"/>
          <w:sz w:val="24"/>
          <w:highlight w:val="none"/>
          <w:u w:color="000000"/>
          <w:lang w:bidi="ar"/>
        </w:rPr>
        <w:t xml:space="preserve"> </w:t>
      </w:r>
      <w:bookmarkStart w:id="15" w:name="_Toc28359086"/>
      <w:bookmarkStart w:id="16" w:name="_Toc28359009"/>
    </w:p>
    <w:bookmarkEnd w:id="15"/>
    <w:bookmarkEnd w:id="16"/>
    <w:p w14:paraId="75CB189C">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14:paraId="6000E0E7">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widowControl/>
        <w:autoSpaceDE w:val="0"/>
        <w:spacing w:line="480" w:lineRule="exact"/>
        <w:ind w:firstLine="480" w:firstLineChars="200"/>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widowControl/>
        <w:autoSpaceDE w:val="0"/>
        <w:spacing w:line="480" w:lineRule="exact"/>
        <w:ind w:firstLine="480" w:firstLineChars="200"/>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5A417918">
      <w:pPr>
        <w:widowControl/>
        <w:autoSpaceDE w:val="0"/>
        <w:spacing w:line="480" w:lineRule="exact"/>
        <w:ind w:firstLine="480" w:firstLineChars="200"/>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0550-335212</w:t>
      </w:r>
      <w:r>
        <w:rPr>
          <w:rFonts w:hint="eastAsia" w:ascii="宋体" w:hAnsi="宋体" w:eastAsia="宋体" w:cs="宋体"/>
          <w:bCs/>
          <w:color w:val="000000"/>
          <w:kern w:val="0"/>
          <w:sz w:val="24"/>
          <w:highlight w:val="none"/>
          <w:u w:color="000000"/>
          <w:lang w:val="en-US" w:eastAsia="zh-CN" w:bidi="ar"/>
        </w:rPr>
        <w:t>8</w:t>
      </w:r>
      <w:r>
        <w:rPr>
          <w:rFonts w:hint="eastAsia" w:ascii="宋体" w:hAnsi="宋体" w:eastAsia="宋体" w:cs="宋体"/>
          <w:bCs/>
          <w:color w:val="000000"/>
          <w:kern w:val="0"/>
          <w:sz w:val="24"/>
          <w:highlight w:val="none"/>
          <w:u w:color="000000"/>
          <w:lang w:bidi="ar"/>
        </w:rPr>
        <w:t xml:space="preserve">、18005505728   </w:t>
      </w:r>
    </w:p>
    <w:p w14:paraId="5FCFEA43">
      <w:pPr>
        <w:rPr>
          <w:rFonts w:hint="eastAsia" w:ascii="宋体" w:hAnsi="宋体" w:eastAsia="宋体" w:cs="宋体"/>
          <w:bCs/>
          <w:color w:val="000000"/>
          <w:kern w:val="0"/>
          <w:sz w:val="24"/>
          <w:highlight w:val="none"/>
          <w:u w:color="000000"/>
          <w:lang w:bidi="ar"/>
        </w:rPr>
      </w:pPr>
    </w:p>
    <w:p w14:paraId="2FB5E420">
      <w:pPr>
        <w:rPr>
          <w:rFonts w:hint="eastAsia" w:ascii="宋体" w:hAnsi="宋体" w:eastAsia="宋体" w:cs="宋体"/>
          <w:b/>
          <w:bCs/>
          <w:kern w:val="0"/>
          <w:sz w:val="28"/>
          <w:szCs w:val="28"/>
          <w:highlight w:val="none"/>
          <w:u w:color="000000"/>
          <w:lang w:bidi="ar"/>
        </w:rPr>
      </w:pPr>
      <w:r>
        <w:rPr>
          <w:rFonts w:hint="eastAsia" w:ascii="宋体" w:hAnsi="宋体" w:eastAsia="宋体" w:cs="宋体"/>
          <w:b/>
          <w:bCs/>
          <w:kern w:val="0"/>
          <w:sz w:val="28"/>
          <w:szCs w:val="28"/>
          <w:highlight w:val="none"/>
          <w:u w:color="000000"/>
          <w:lang w:bidi="ar"/>
        </w:rPr>
        <w:br w:type="page"/>
      </w:r>
    </w:p>
    <w:p w14:paraId="319872B2">
      <w:pPr>
        <w:widowControl/>
        <w:autoSpaceDE w:val="0"/>
        <w:spacing w:line="480" w:lineRule="exact"/>
        <w:ind w:firstLine="56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14:paraId="6EDC02FC">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19"/>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3CE3D3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6AD4289F">
            <w:pPr>
              <w:pStyle w:val="12"/>
              <w:keepNext w:val="0"/>
              <w:keepLines w:val="0"/>
              <w:pageBreakBefore w:val="0"/>
              <w:widowControl/>
              <w:kinsoku/>
              <w:overflowPunct/>
              <w:topLinePunct w:val="0"/>
              <w:autoSpaceDN/>
              <w:bidi w:val="0"/>
              <w:adjustRightInd/>
              <w:snapToGrid/>
              <w:spacing w:line="400" w:lineRule="exact"/>
              <w:jc w:val="center"/>
              <w:textAlignment w:val="auto"/>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6420ABDA">
            <w:pPr>
              <w:pStyle w:val="12"/>
              <w:keepNext w:val="0"/>
              <w:keepLines w:val="0"/>
              <w:pageBreakBefore w:val="0"/>
              <w:widowControl/>
              <w:kinsoku/>
              <w:overflowPunct/>
              <w:topLinePunct w:val="0"/>
              <w:autoSpaceDN/>
              <w:bidi w:val="0"/>
              <w:adjustRightInd/>
              <w:snapToGrid/>
              <w:spacing w:line="400" w:lineRule="exact"/>
              <w:jc w:val="center"/>
              <w:textAlignment w:val="auto"/>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1A0F7886">
            <w:pPr>
              <w:pStyle w:val="12"/>
              <w:keepNext w:val="0"/>
              <w:keepLines w:val="0"/>
              <w:pageBreakBefore w:val="0"/>
              <w:widowControl/>
              <w:kinsoku/>
              <w:overflowPunct/>
              <w:topLinePunct w:val="0"/>
              <w:autoSpaceDN/>
              <w:bidi w:val="0"/>
              <w:adjustRightInd/>
              <w:snapToGrid/>
              <w:spacing w:line="400" w:lineRule="exact"/>
              <w:jc w:val="center"/>
              <w:textAlignment w:val="auto"/>
              <w:rPr>
                <w:rFonts w:hint="default"/>
                <w:b/>
                <w:highlight w:val="none"/>
              </w:rPr>
            </w:pPr>
            <w:r>
              <w:rPr>
                <w:b/>
                <w:highlight w:val="none"/>
              </w:rPr>
              <w:t>说明与要求</w:t>
            </w:r>
          </w:p>
        </w:tc>
      </w:tr>
      <w:tr w14:paraId="67714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0911AA">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D22FCB">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92AE4A">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eastAsia="宋体"/>
                <w:bCs/>
                <w:highlight w:val="none"/>
                <w:lang w:val="en-US" w:eastAsia="zh-CN"/>
              </w:rPr>
            </w:pPr>
            <w:r>
              <w:rPr>
                <w:rFonts w:hint="eastAsia"/>
                <w:bCs/>
                <w:highlight w:val="none"/>
                <w:lang w:eastAsia="zh-CN"/>
              </w:rPr>
              <w:t>滁州轨道运营VI标识标牌制作安装项目（2026年—2027年）</w:t>
            </w:r>
          </w:p>
        </w:tc>
      </w:tr>
      <w:tr w14:paraId="59B2E3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E1D31A">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86AF56">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C6E2C9">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bCs/>
                <w:highlight w:val="none"/>
              </w:rPr>
            </w:pPr>
            <w:r>
              <w:rPr>
                <w:rFonts w:cs="宋体"/>
                <w:color w:val="000000"/>
                <w:highlight w:val="none"/>
                <w:u w:color="000000"/>
                <w:lang w:bidi="ar"/>
              </w:rPr>
              <w:t>详见第一章</w:t>
            </w:r>
            <w:r>
              <w:rPr>
                <w:rFonts w:ascii="仿宋" w:hAnsi="仿宋" w:cs="宋体"/>
                <w:color w:val="000000"/>
                <w:highlight w:val="none"/>
                <w:u w:color="000000"/>
                <w:lang w:bidi="ar"/>
              </w:rPr>
              <w:t>“招标公告”</w:t>
            </w:r>
          </w:p>
        </w:tc>
      </w:tr>
      <w:tr w14:paraId="3644A4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9775BF">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D5F8D1">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669F24">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rFonts w:cs="宋体"/>
                <w:highlight w:val="none"/>
              </w:rPr>
              <w:t>招标人指定地点</w:t>
            </w:r>
          </w:p>
        </w:tc>
      </w:tr>
      <w:tr w14:paraId="1DC1A2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FBF14F">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B93E0A">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AD0D2D">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eastAsia" w:eastAsia="宋体"/>
                <w:highlight w:val="none"/>
                <w:lang w:eastAsia="zh-CN"/>
              </w:rPr>
            </w:pPr>
            <w:r>
              <w:rPr>
                <w:rFonts w:hint="eastAsia" w:cs="宋体"/>
                <w:highlight w:val="none"/>
                <w:lang w:eastAsia="zh-CN"/>
              </w:rPr>
              <w:t>杭祥婷</w:t>
            </w:r>
            <w:r>
              <w:rPr>
                <w:rFonts w:cs="宋体"/>
                <w:highlight w:val="none"/>
              </w:rPr>
              <w:t xml:space="preserve">  </w:t>
            </w:r>
            <w:r>
              <w:rPr>
                <w:rFonts w:hint="eastAsia" w:cs="宋体"/>
                <w:highlight w:val="none"/>
                <w:lang w:eastAsia="zh-CN"/>
              </w:rPr>
              <w:t>0550-3352128</w:t>
            </w:r>
          </w:p>
        </w:tc>
      </w:tr>
      <w:tr w14:paraId="525CA6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8F5590">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F0A943">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7DCE6D">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rFonts w:cs="宋体"/>
                <w:highlight w:val="none"/>
              </w:rPr>
              <w:t>周蓓蕾  0550-3519519  18005505728</w:t>
            </w:r>
          </w:p>
        </w:tc>
      </w:tr>
      <w:tr w14:paraId="4C7BE3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C4F502">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F38010">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1636AB">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highlight w:val="none"/>
              </w:rPr>
              <w:t>自筹资金</w:t>
            </w:r>
          </w:p>
        </w:tc>
      </w:tr>
      <w:tr w14:paraId="29BC57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C36670">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0FC804">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3E84E1">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bCs/>
                <w:color w:val="000000"/>
                <w:highlight w:val="none"/>
              </w:rPr>
            </w:pPr>
            <w:r>
              <w:rPr>
                <w:rFonts w:hint="eastAsia" w:cs="宋体"/>
                <w:bCs/>
                <w:color w:val="000000"/>
                <w:highlight w:val="none"/>
                <w:lang w:eastAsia="zh-CN"/>
              </w:rPr>
              <w:t>218042</w:t>
            </w:r>
            <w:r>
              <w:rPr>
                <w:rFonts w:cs="宋体"/>
                <w:bCs/>
                <w:color w:val="000000"/>
                <w:highlight w:val="none"/>
              </w:rPr>
              <w:t>元</w:t>
            </w:r>
            <w:r>
              <w:rPr>
                <w:rFonts w:hint="eastAsia" w:ascii="宋体" w:hAnsi="宋体" w:eastAsia="宋体" w:cs="Times New Roman"/>
                <w:highlight w:val="none"/>
                <w:lang w:val="en-US" w:eastAsia="zh-CN"/>
              </w:rPr>
              <w:t>（含税）</w:t>
            </w:r>
          </w:p>
        </w:tc>
      </w:tr>
      <w:tr w14:paraId="5A7FFC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7D003">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E47502">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CDA9E1">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bCs/>
                <w:color w:val="000000"/>
                <w:highlight w:val="none"/>
              </w:rPr>
            </w:pPr>
            <w:r>
              <w:rPr>
                <w:rFonts w:cs="宋体"/>
                <w:bCs/>
                <w:color w:val="000000"/>
                <w:highlight w:val="none"/>
              </w:rPr>
              <w:t>本项目最高限价为（人民币）</w:t>
            </w:r>
            <w:r>
              <w:rPr>
                <w:rFonts w:hint="eastAsia" w:cs="宋体"/>
                <w:bCs/>
                <w:color w:val="000000"/>
                <w:highlight w:val="none"/>
                <w:lang w:eastAsia="zh-CN"/>
              </w:rPr>
              <w:t>218042</w:t>
            </w:r>
            <w:r>
              <w:rPr>
                <w:rFonts w:cs="宋体"/>
                <w:bCs/>
                <w:color w:val="000000"/>
                <w:highlight w:val="none"/>
              </w:rPr>
              <w:t>元</w:t>
            </w:r>
            <w:r>
              <w:rPr>
                <w:rFonts w:hint="eastAsia" w:ascii="宋体" w:hAnsi="宋体" w:eastAsia="宋体" w:cs="Times New Roman"/>
                <w:highlight w:val="none"/>
                <w:lang w:val="en-US" w:eastAsia="zh-CN"/>
              </w:rPr>
              <w:t>（含税）</w:t>
            </w:r>
            <w:r>
              <w:rPr>
                <w:rFonts w:cs="宋体"/>
                <w:bCs/>
                <w:color w:val="000000"/>
                <w:highlight w:val="none"/>
              </w:rPr>
              <w:t>，投标报价不得超过最高限价，否则按无效投标处理。</w:t>
            </w:r>
          </w:p>
        </w:tc>
      </w:tr>
      <w:tr w14:paraId="15ECC4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25CF6C">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D02363">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2AAAF1">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highlight w:val="none"/>
              </w:rPr>
              <w:t>详见</w:t>
            </w:r>
            <w:r>
              <w:rPr>
                <w:rFonts w:cs="宋体"/>
                <w:bCs/>
                <w:color w:val="000000"/>
                <w:highlight w:val="none"/>
              </w:rPr>
              <w:t>《用户需求书》</w:t>
            </w:r>
          </w:p>
        </w:tc>
      </w:tr>
      <w:tr w14:paraId="396053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937F1F">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3C4929">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84F93D8">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highlight w:val="none"/>
              </w:rPr>
              <w:t>本项目划分为</w:t>
            </w:r>
            <w:r>
              <w:rPr>
                <w:highlight w:val="none"/>
                <w:u w:val="single"/>
              </w:rPr>
              <w:t xml:space="preserve"> 1 </w:t>
            </w:r>
            <w:r>
              <w:rPr>
                <w:highlight w:val="none"/>
              </w:rPr>
              <w:t>个标段</w:t>
            </w:r>
          </w:p>
        </w:tc>
      </w:tr>
      <w:tr w14:paraId="341928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F28429">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7F9B6C">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22806F">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rFonts w:cs="宋体"/>
                <w:highlight w:val="none"/>
              </w:rPr>
              <w:t>公开</w:t>
            </w:r>
            <w:r>
              <w:rPr>
                <w:highlight w:val="none"/>
              </w:rPr>
              <w:t>招标</w:t>
            </w:r>
          </w:p>
        </w:tc>
      </w:tr>
      <w:tr w14:paraId="713CA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AFB375">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74D4A8">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8387031">
            <w:pPr>
              <w:keepNext w:val="0"/>
              <w:keepLines w:val="0"/>
              <w:pageBreakBefore w:val="0"/>
              <w:kinsoku/>
              <w:overflowPunct/>
              <w:topLinePunct w:val="0"/>
              <w:autoSpaceDE w:val="0"/>
              <w:autoSpaceDN/>
              <w:bidi w:val="0"/>
              <w:adjustRightInd/>
              <w:snapToGrid/>
              <w:spacing w:line="400" w:lineRule="exact"/>
              <w:textAlignment w:val="auto"/>
              <w:rPr>
                <w:rFonts w:ascii="仿宋" w:hAnsi="仿宋" w:eastAsia="仿宋" w:cs="仿宋"/>
                <w:highlight w:val="none"/>
              </w:rPr>
            </w:pPr>
            <w:r>
              <w:rPr>
                <w:rFonts w:hint="eastAsia" w:ascii="宋体" w:hAnsi="宋体" w:eastAsia="宋体" w:cs="宋体"/>
                <w:color w:val="000000"/>
                <w:szCs w:val="21"/>
                <w:highlight w:val="none"/>
                <w:u w:color="000000"/>
                <w:lang w:bidi="ar"/>
              </w:rPr>
              <w:t>详见第一章</w:t>
            </w:r>
            <w:r>
              <w:rPr>
                <w:rFonts w:hint="eastAsia" w:ascii="仿宋" w:hAnsi="仿宋" w:eastAsia="宋体" w:cs="宋体"/>
                <w:color w:val="000000"/>
                <w:szCs w:val="21"/>
                <w:highlight w:val="none"/>
                <w:u w:color="000000"/>
                <w:lang w:bidi="ar"/>
              </w:rPr>
              <w:t>“招标公告”</w:t>
            </w:r>
          </w:p>
        </w:tc>
      </w:tr>
      <w:tr w14:paraId="20B991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F0576C">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7C633E">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9E5C72">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highlight w:val="none"/>
              </w:rPr>
              <w:t>不组织,投标人自行踏勘现场</w:t>
            </w:r>
          </w:p>
        </w:tc>
      </w:tr>
      <w:tr w14:paraId="243457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2B9B55">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83F5501">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C098B6A">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highlight w:val="none"/>
              </w:rPr>
              <w:t>不召开</w:t>
            </w:r>
          </w:p>
        </w:tc>
      </w:tr>
      <w:tr w14:paraId="0CB868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C4D790">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3D211B4">
            <w:pPr>
              <w:pStyle w:val="12"/>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hint="default"/>
                <w:highlight w:val="none"/>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B34A03">
            <w:pPr>
              <w:pStyle w:val="12"/>
              <w:keepNext w:val="0"/>
              <w:keepLines w:val="0"/>
              <w:pageBreakBefore w:val="0"/>
              <w:kinsoku/>
              <w:wordWrap w:val="0"/>
              <w:overflowPunct/>
              <w:topLinePunct w:val="0"/>
              <w:autoSpaceDN/>
              <w:bidi w:val="0"/>
              <w:adjustRightInd/>
              <w:snapToGrid/>
              <w:spacing w:line="400" w:lineRule="exact"/>
              <w:ind w:left="0" w:leftChars="0" w:right="0" w:rightChars="0"/>
              <w:textAlignment w:val="auto"/>
              <w:rPr>
                <w:rFonts w:hint="default"/>
                <w:highlight w:val="none"/>
              </w:rPr>
            </w:pPr>
            <w:r>
              <w:rPr>
                <w:rFonts w:hint="eastAsia" w:ascii="宋体" w:hAnsi="宋体" w:cs="宋体"/>
                <w:kern w:val="0"/>
                <w:szCs w:val="21"/>
                <w:highlight w:val="none"/>
              </w:rPr>
              <w:t>如投标人对招标文件有疑问，</w:t>
            </w:r>
            <w:r>
              <w:rPr>
                <w:rFonts w:hint="eastAsia" w:ascii="宋体" w:hAnsi="宋体" w:eastAsia="宋体" w:cs="宋体"/>
                <w:kern w:val="0"/>
                <w:szCs w:val="21"/>
                <w:highlight w:val="none"/>
              </w:rPr>
              <w:t>请于202</w:t>
            </w:r>
            <w:r>
              <w:rPr>
                <w:rFonts w:hint="eastAsia" w:cs="宋体"/>
                <w:kern w:val="0"/>
                <w:szCs w:val="21"/>
                <w:highlight w:val="none"/>
                <w:lang w:val="en-US" w:eastAsia="zh-CN"/>
              </w:rPr>
              <w:t>6</w:t>
            </w:r>
            <w:r>
              <w:rPr>
                <w:rFonts w:hint="eastAsia" w:ascii="宋体" w:hAnsi="宋体" w:eastAsia="宋体" w:cs="宋体"/>
                <w:kern w:val="0"/>
                <w:szCs w:val="21"/>
                <w:highlight w:val="none"/>
              </w:rPr>
              <w:t>年</w:t>
            </w:r>
            <w:r>
              <w:rPr>
                <w:rFonts w:hint="eastAsia" w:cs="宋体"/>
                <w:kern w:val="0"/>
                <w:szCs w:val="21"/>
                <w:highlight w:val="none"/>
                <w:lang w:val="en-US" w:eastAsia="zh-CN"/>
              </w:rPr>
              <w:t>8</w:t>
            </w:r>
            <w:r>
              <w:rPr>
                <w:rFonts w:hint="eastAsia" w:ascii="宋体" w:hAnsi="宋体" w:eastAsia="宋体" w:cs="宋体"/>
                <w:kern w:val="0"/>
                <w:szCs w:val="21"/>
                <w:highlight w:val="none"/>
              </w:rPr>
              <w:t>月</w:t>
            </w:r>
            <w:r>
              <w:rPr>
                <w:rFonts w:hint="eastAsia" w:cs="宋体"/>
                <w:kern w:val="0"/>
                <w:szCs w:val="21"/>
                <w:highlight w:val="none"/>
                <w:lang w:val="en-US" w:eastAsia="zh-CN"/>
              </w:rPr>
              <w:t>7</w:t>
            </w:r>
            <w:r>
              <w:rPr>
                <w:rFonts w:hint="eastAsia" w:ascii="宋体" w:hAnsi="宋体" w:eastAsia="宋体" w:cs="宋体"/>
                <w:kern w:val="0"/>
                <w:szCs w:val="21"/>
                <w:highlight w:val="none"/>
              </w:rPr>
              <w:t>日17时前</w:t>
            </w:r>
            <w:r>
              <w:rPr>
                <w:rFonts w:hint="eastAsia" w:ascii="宋体" w:hAnsi="宋体" w:eastAsia="宋体" w:cs="宋体"/>
                <w:color w:val="auto"/>
                <w:szCs w:val="21"/>
                <w:highlight w:val="none"/>
                <w:lang w:val="en-US" w:eastAsia="zh-CN"/>
              </w:rPr>
              <w:t>登录新点电子交易平台【滁州专区】线上提出</w:t>
            </w:r>
            <w:r>
              <w:rPr>
                <w:rFonts w:ascii="宋体" w:hAnsi="宋体" w:eastAsia="宋体" w:cs="宋体"/>
                <w:color w:val="auto"/>
                <w:highlight w:val="none"/>
              </w:rPr>
              <w:t>。</w:t>
            </w:r>
          </w:p>
        </w:tc>
      </w:tr>
      <w:tr w14:paraId="3A74F8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3A51ECE">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2EC51">
            <w:pPr>
              <w:pStyle w:val="12"/>
              <w:keepNext w:val="0"/>
              <w:keepLines w:val="0"/>
              <w:pageBreakBefore w:val="0"/>
              <w:widowControl/>
              <w:kinsoku/>
              <w:wordWrap/>
              <w:overflowPunct/>
              <w:topLinePunct w:val="0"/>
              <w:autoSpaceDE w:val="0"/>
              <w:autoSpaceDN/>
              <w:bidi w:val="0"/>
              <w:adjustRightInd/>
              <w:snapToGrid/>
              <w:spacing w:line="400" w:lineRule="exact"/>
              <w:jc w:val="left"/>
              <w:textAlignment w:val="auto"/>
              <w:rPr>
                <w:rFonts w:hint="default"/>
                <w:highlight w:val="none"/>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E5FE97">
            <w:pPr>
              <w:keepNext w:val="0"/>
              <w:keepLines w:val="0"/>
              <w:pageBreakBefore w:val="0"/>
              <w:suppressLineNumbers w:val="0"/>
              <w:kinsoku/>
              <w:wordWrap w:val="0"/>
              <w:overflowPunct/>
              <w:topLinePunct w:val="0"/>
              <w:autoSpaceDN/>
              <w:bidi w:val="0"/>
              <w:adjustRightInd/>
              <w:snapToGrid/>
              <w:spacing w:before="0" w:beforeAutospacing="0" w:after="0" w:afterAutospacing="0" w:line="400" w:lineRule="exact"/>
              <w:ind w:left="0" w:leftChars="0" w:right="0" w:rightChars="0"/>
              <w:textAlignment w:val="auto"/>
              <w:rPr>
                <w:rFonts w:ascii="宋体" w:hAnsi="宋体" w:eastAsia="宋体" w:cs="宋体"/>
                <w:highlight w:val="none"/>
              </w:rPr>
            </w:pPr>
            <w:r>
              <w:rPr>
                <w:rFonts w:hint="eastAsia" w:ascii="宋体" w:hAnsi="宋体" w:eastAsia="宋体" w:cs="宋体"/>
                <w:b w:val="0"/>
                <w:bCs w:val="0"/>
                <w:color w:val="000000"/>
                <w:kern w:val="2"/>
                <w:sz w:val="21"/>
                <w:szCs w:val="21"/>
                <w:highlight w:val="none"/>
                <w:u w:color="000000"/>
                <w:lang w:val="en-US" w:eastAsia="zh-CN" w:bidi="ar"/>
              </w:rPr>
              <w:t>招标人将在202</w:t>
            </w:r>
            <w:r>
              <w:rPr>
                <w:rFonts w:hint="eastAsia" w:ascii="宋体" w:hAnsi="宋体" w:cs="宋体"/>
                <w:b w:val="0"/>
                <w:bCs w:val="0"/>
                <w:color w:val="000000"/>
                <w:kern w:val="2"/>
                <w:sz w:val="21"/>
                <w:szCs w:val="21"/>
                <w:highlight w:val="none"/>
                <w:u w:color="000000"/>
                <w:lang w:val="en-US" w:eastAsia="zh-CN" w:bidi="ar"/>
              </w:rPr>
              <w:t>6</w:t>
            </w:r>
            <w:r>
              <w:rPr>
                <w:rFonts w:hint="eastAsia" w:ascii="宋体" w:hAnsi="宋体" w:eastAsia="宋体" w:cs="宋体"/>
                <w:b w:val="0"/>
                <w:bCs w:val="0"/>
                <w:color w:val="000000"/>
                <w:kern w:val="2"/>
                <w:sz w:val="21"/>
                <w:szCs w:val="21"/>
                <w:highlight w:val="none"/>
                <w:u w:color="000000"/>
                <w:lang w:val="en-US" w:eastAsia="zh-CN" w:bidi="ar"/>
              </w:rPr>
              <w:t>年</w:t>
            </w:r>
            <w:r>
              <w:rPr>
                <w:rFonts w:hint="eastAsia" w:ascii="宋体" w:hAnsi="宋体" w:cs="宋体"/>
                <w:b w:val="0"/>
                <w:bCs w:val="0"/>
                <w:color w:val="000000"/>
                <w:kern w:val="2"/>
                <w:sz w:val="21"/>
                <w:szCs w:val="21"/>
                <w:highlight w:val="none"/>
                <w:u w:color="000000"/>
                <w:lang w:val="en-US" w:eastAsia="zh-CN" w:bidi="ar"/>
              </w:rPr>
              <w:t>8</w:t>
            </w:r>
            <w:r>
              <w:rPr>
                <w:rFonts w:hint="eastAsia" w:ascii="宋体" w:hAnsi="宋体" w:eastAsia="宋体" w:cs="宋体"/>
                <w:b w:val="0"/>
                <w:bCs w:val="0"/>
                <w:color w:val="000000"/>
                <w:kern w:val="2"/>
                <w:sz w:val="21"/>
                <w:szCs w:val="21"/>
                <w:highlight w:val="none"/>
                <w:u w:color="000000"/>
                <w:lang w:val="en-US" w:eastAsia="zh-CN" w:bidi="ar"/>
              </w:rPr>
              <w:t>月</w:t>
            </w:r>
            <w:r>
              <w:rPr>
                <w:rFonts w:hint="eastAsia" w:ascii="宋体" w:hAnsi="宋体" w:cs="宋体"/>
                <w:b w:val="0"/>
                <w:bCs w:val="0"/>
                <w:color w:val="000000"/>
                <w:kern w:val="2"/>
                <w:sz w:val="21"/>
                <w:szCs w:val="21"/>
                <w:highlight w:val="none"/>
                <w:u w:color="000000"/>
                <w:lang w:val="en-US" w:eastAsia="zh-CN" w:bidi="ar"/>
              </w:rPr>
              <w:t>9</w:t>
            </w:r>
            <w:r>
              <w:rPr>
                <w:rFonts w:hint="eastAsia" w:ascii="宋体" w:hAnsi="宋体" w:eastAsia="宋体" w:cs="宋体"/>
                <w:b w:val="0"/>
                <w:bCs w:val="0"/>
                <w:color w:val="000000"/>
                <w:kern w:val="2"/>
                <w:sz w:val="21"/>
                <w:szCs w:val="21"/>
                <w:highlight w:val="none"/>
                <w:u w:color="000000"/>
                <w:lang w:val="en-US" w:eastAsia="zh-CN" w:bidi="ar"/>
              </w:rPr>
              <w:t>日17时后以澄清公告形式在滁州市滁宁城际铁路开发建设有限公司网站http://www.czctgs.cn；中国采购与招标网http://chinabidding.com.cn；中国招投标网http://www.infobidding.com；e车网http://www.ecrrc.com；滁州市城投工程咨询管理有限公司网站</w:t>
            </w:r>
            <w:r>
              <w:rPr>
                <w:rFonts w:hint="eastAsia" w:ascii="宋体" w:hAnsi="宋体" w:cs="宋体"/>
                <w:b w:val="0"/>
                <w:bCs w:val="0"/>
                <w:color w:val="000000"/>
                <w:kern w:val="2"/>
                <w:sz w:val="21"/>
                <w:szCs w:val="21"/>
                <w:highlight w:val="none"/>
                <w:u w:color="000000"/>
                <w:lang w:val="en-US" w:eastAsia="zh-CN" w:bidi="ar"/>
              </w:rPr>
              <w:t>https://www.czctgczx.com/</w:t>
            </w:r>
            <w:r>
              <w:rPr>
                <w:rFonts w:hint="eastAsia" w:ascii="宋体" w:hAnsi="宋体" w:eastAsia="宋体" w:cs="宋体"/>
                <w:b w:val="0"/>
                <w:bCs w:val="0"/>
                <w:color w:val="000000"/>
                <w:kern w:val="2"/>
                <w:sz w:val="21"/>
                <w:szCs w:val="21"/>
                <w:highlight w:val="none"/>
                <w:u w:color="000000"/>
                <w:lang w:val="en-US" w:eastAsia="zh-CN" w:bidi="ar"/>
              </w:rPr>
              <w:t>发布，但不指明澄清问题的来源。如果澄清内容影响投标文件编制的，将相应延长投标截止时间。</w:t>
            </w:r>
          </w:p>
        </w:tc>
      </w:tr>
      <w:tr w14:paraId="747D01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4437EB">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9FC914">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8FC148">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highlight w:val="none"/>
              </w:rPr>
              <w:t>本次招标</w:t>
            </w:r>
            <w:r>
              <w:rPr>
                <w:highlight w:val="none"/>
                <w:u w:val="single"/>
              </w:rPr>
              <w:t>不接受</w:t>
            </w:r>
            <w:r>
              <w:rPr>
                <w:highlight w:val="none"/>
              </w:rPr>
              <w:t>联合体投标</w:t>
            </w:r>
          </w:p>
        </w:tc>
      </w:tr>
      <w:tr w14:paraId="3808FA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68D7FC">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rightChars="0"/>
              <w:jc w:val="center"/>
              <w:textAlignment w:val="auto"/>
              <w:rPr>
                <w:highlight w:val="none"/>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09438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left"/>
              <w:textAlignment w:val="auto"/>
              <w:rPr>
                <w:highlight w:val="none"/>
              </w:rPr>
            </w:pPr>
            <w:r>
              <w:rPr>
                <w:rFonts w:hint="eastAsia" w:ascii="宋体" w:hAnsi="宋体" w:eastAsia="宋体" w:cs="宋体"/>
                <w:color w:val="auto"/>
                <w:sz w:val="21"/>
                <w:szCs w:val="21"/>
                <w:highlight w:val="none"/>
              </w:rPr>
              <w:t>发布公告的媒介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5F9E6A">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滁州市滁宁城际铁路开发建设有限公司网站http://www.czctgs.cn；</w:t>
            </w:r>
          </w:p>
          <w:p w14:paraId="7405EE7F">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中国采购与招标网http://chinabidding.com.cn；</w:t>
            </w:r>
          </w:p>
          <w:p w14:paraId="0DEAA02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中国招投标网http://www.infobidding.com；</w:t>
            </w:r>
          </w:p>
          <w:p w14:paraId="00BEF36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e车网</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"http://www.ecrrc.com" </w:instrText>
            </w:r>
            <w:r>
              <w:rPr>
                <w:rFonts w:hint="eastAsia" w:ascii="Times New Roman" w:hAnsi="Times New Roman" w:eastAsia="宋体" w:cs="Times New Roman"/>
                <w:highlight w:val="none"/>
                <w:lang w:val="en-US" w:eastAsia="zh-CN"/>
              </w:rPr>
              <w:fldChar w:fldCharType="separate"/>
            </w:r>
            <w:r>
              <w:rPr>
                <w:rStyle w:val="23"/>
                <w:rFonts w:hint="eastAsia" w:ascii="Times New Roman" w:hAnsi="Times New Roman" w:eastAsia="宋体" w:cs="Times New Roman"/>
                <w:highlight w:val="none"/>
                <w:lang w:val="en-US" w:eastAsia="zh-CN"/>
              </w:rPr>
              <w:t>http://www.ecrrc.com</w:t>
            </w:r>
            <w:r>
              <w:rPr>
                <w:rFonts w:hint="eastAsia" w:ascii="Times New Roman" w:hAnsi="Times New Roman" w:eastAsia="宋体" w:cs="Times New Roman"/>
                <w:highlight w:val="none"/>
                <w:lang w:val="en-US" w:eastAsia="zh-CN"/>
              </w:rPr>
              <w:fldChar w:fldCharType="end"/>
            </w:r>
          </w:p>
          <w:p w14:paraId="395126C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中国招标公共服务平台http://www.cebpubservice.com；</w:t>
            </w:r>
          </w:p>
          <w:p w14:paraId="4B5E5F8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安徽省招标投标信息网www.ahtba.org.cn；</w:t>
            </w:r>
          </w:p>
          <w:p w14:paraId="48D62ED1">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left"/>
              <w:textAlignment w:val="auto"/>
              <w:rPr>
                <w:highlight w:val="none"/>
              </w:rPr>
            </w:pPr>
            <w:r>
              <w:rPr>
                <w:rFonts w:hint="eastAsia" w:ascii="Times New Roman" w:hAnsi="Times New Roman" w:eastAsia="宋体" w:cs="Times New Roman"/>
                <w:highlight w:val="none"/>
                <w:lang w:val="en-US" w:eastAsia="zh-CN"/>
              </w:rPr>
              <w:t>滁州市城投工程咨询管理有限公司https://www.czctgczx.com/</w:t>
            </w:r>
          </w:p>
        </w:tc>
      </w:tr>
      <w:tr w14:paraId="769A0C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ED1AC0">
            <w:pPr>
              <w:keepNext w:val="0"/>
              <w:keepLines w:val="0"/>
              <w:pageBreakBefore w:val="0"/>
              <w:kinsoku/>
              <w:overflowPunct/>
              <w:topLinePunct w:val="0"/>
              <w:autoSpaceDE w:val="0"/>
              <w:autoSpaceDN/>
              <w:bidi w:val="0"/>
              <w:adjustRightInd/>
              <w:snapToGrid/>
              <w:spacing w:line="400" w:lineRule="exact"/>
              <w:jc w:val="center"/>
              <w:textAlignment w:val="auto"/>
              <w:rPr>
                <w:rFonts w:hint="eastAsia" w:ascii="宋体" w:hAnsi="宋体" w:eastAsia="宋体" w:cs="宋体"/>
                <w:highlight w:val="none"/>
                <w:lang w:eastAsia="zh-CN"/>
              </w:rPr>
            </w:pPr>
            <w:r>
              <w:rPr>
                <w:rFonts w:hint="eastAsia" w:ascii="宋体" w:hAnsi="宋体" w:eastAsia="宋体" w:cs="宋体"/>
                <w:highlight w:val="none"/>
              </w:rPr>
              <w:t>1</w:t>
            </w:r>
            <w:r>
              <w:rPr>
                <w:rFonts w:hint="eastAsia" w:ascii="宋体" w:hAnsi="宋体" w:eastAsia="宋体" w:cs="宋体"/>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33F023">
            <w:pPr>
              <w:keepNext w:val="0"/>
              <w:keepLines w:val="0"/>
              <w:pageBreakBefore w:val="0"/>
              <w:kinsoku/>
              <w:overflowPunct/>
              <w:topLinePunct w:val="0"/>
              <w:autoSpaceDE w:val="0"/>
              <w:autoSpaceDN/>
              <w:bidi w:val="0"/>
              <w:adjustRightInd/>
              <w:snapToGrid/>
              <w:spacing w:line="400" w:lineRule="exact"/>
              <w:jc w:val="left"/>
              <w:textAlignment w:val="auto"/>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DF23836">
            <w:pPr>
              <w:keepNext w:val="0"/>
              <w:keepLines w:val="0"/>
              <w:pageBreakBefore w:val="0"/>
              <w:kinsoku/>
              <w:overflowPunct/>
              <w:topLinePunct w:val="0"/>
              <w:autoSpaceDE w:val="0"/>
              <w:autoSpaceDN/>
              <w:bidi w:val="0"/>
              <w:adjustRightInd/>
              <w:snapToGrid/>
              <w:spacing w:line="400" w:lineRule="exact"/>
              <w:jc w:val="left"/>
              <w:textAlignment w:val="auto"/>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代理服务费金额：3000元。</w:t>
            </w:r>
          </w:p>
          <w:p w14:paraId="00A96305">
            <w:pPr>
              <w:keepNext w:val="0"/>
              <w:keepLines w:val="0"/>
              <w:pageBreakBefore w:val="0"/>
              <w:kinsoku/>
              <w:overflowPunct/>
              <w:topLinePunct w:val="0"/>
              <w:autoSpaceDE w:val="0"/>
              <w:autoSpaceDN/>
              <w:bidi w:val="0"/>
              <w:adjustRightInd/>
              <w:snapToGrid/>
              <w:spacing w:line="400" w:lineRule="exact"/>
              <w:jc w:val="left"/>
              <w:textAlignment w:val="auto"/>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14:paraId="0DD14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31B7EE">
            <w:pPr>
              <w:keepNext w:val="0"/>
              <w:keepLines w:val="0"/>
              <w:pageBreakBefore w:val="0"/>
              <w:kinsoku/>
              <w:overflowPunct/>
              <w:topLinePunct w:val="0"/>
              <w:autoSpaceDE w:val="0"/>
              <w:autoSpaceDN/>
              <w:bidi w:val="0"/>
              <w:adjustRightInd/>
              <w:snapToGrid/>
              <w:spacing w:line="400" w:lineRule="exact"/>
              <w:jc w:val="center"/>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809907">
            <w:pPr>
              <w:keepNext w:val="0"/>
              <w:keepLines w:val="0"/>
              <w:pageBreakBefore w:val="0"/>
              <w:kinsoku/>
              <w:overflowPunct/>
              <w:topLinePunct w:val="0"/>
              <w:autoSpaceDE w:val="0"/>
              <w:autoSpaceDN/>
              <w:bidi w:val="0"/>
              <w:adjustRightInd/>
              <w:snapToGrid/>
              <w:spacing w:line="400" w:lineRule="exact"/>
              <w:ind w:right="-27" w:rightChars="-13"/>
              <w:jc w:val="left"/>
              <w:textAlignment w:val="auto"/>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3776C">
            <w:pPr>
              <w:keepNext w:val="0"/>
              <w:keepLines w:val="0"/>
              <w:pageBreakBefore w:val="0"/>
              <w:kinsoku/>
              <w:overflowPunct/>
              <w:topLinePunct w:val="0"/>
              <w:autoSpaceDE w:val="0"/>
              <w:autoSpaceDN/>
              <w:bidi w:val="0"/>
              <w:adjustRightInd/>
              <w:snapToGrid/>
              <w:spacing w:line="400" w:lineRule="exact"/>
              <w:textAlignment w:val="auto"/>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14:paraId="2E0B7E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9F73B09">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eastAsia" w:eastAsia="宋体"/>
                <w:highlight w:val="none"/>
                <w:lang w:eastAsia="zh-CN"/>
              </w:rPr>
            </w:pPr>
            <w:r>
              <w:rPr>
                <w:highlight w:val="none"/>
              </w:rPr>
              <w:t>2</w:t>
            </w:r>
            <w:r>
              <w:rPr>
                <w:rFonts w:hint="eastAsia"/>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BAC49E">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50805DF">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14:paraId="1E81E0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707E5F">
            <w:pPr>
              <w:keepNext w:val="0"/>
              <w:keepLines w:val="0"/>
              <w:pageBreakBefore w:val="0"/>
              <w:kinsoku/>
              <w:overflowPunct/>
              <w:topLinePunct w:val="0"/>
              <w:autoSpaceDE w:val="0"/>
              <w:autoSpaceDN/>
              <w:bidi w:val="0"/>
              <w:adjustRightInd/>
              <w:snapToGrid/>
              <w:spacing w:line="400" w:lineRule="exact"/>
              <w:jc w:val="center"/>
              <w:textAlignment w:val="auto"/>
              <w:rPr>
                <w:rFonts w:hint="eastAsia" w:ascii="宋体" w:hAnsi="宋体" w:eastAsia="宋体" w:cs="宋体"/>
                <w:highlight w:val="none"/>
                <w:lang w:eastAsia="zh-CN"/>
              </w:rPr>
            </w:pPr>
            <w:r>
              <w:rPr>
                <w:rFonts w:hint="eastAsia" w:ascii="宋体" w:hAnsi="宋体" w:eastAsia="宋体" w:cs="宋体"/>
                <w:highlight w:val="none"/>
              </w:rPr>
              <w:t>2</w:t>
            </w:r>
            <w:r>
              <w:rPr>
                <w:rFonts w:hint="eastAsia" w:ascii="宋体" w:hAnsi="宋体" w:eastAsia="宋体" w:cs="宋体"/>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F8B3A70">
            <w:pPr>
              <w:keepNext w:val="0"/>
              <w:keepLines w:val="0"/>
              <w:pageBreakBefore w:val="0"/>
              <w:kinsoku/>
              <w:overflowPunct/>
              <w:topLinePunct w:val="0"/>
              <w:autoSpaceDE w:val="0"/>
              <w:autoSpaceDN/>
              <w:bidi w:val="0"/>
              <w:adjustRightInd/>
              <w:snapToGrid/>
              <w:spacing w:line="400" w:lineRule="exact"/>
              <w:jc w:val="left"/>
              <w:textAlignment w:val="auto"/>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A7A7F52">
            <w:pPr>
              <w:keepNext w:val="0"/>
              <w:keepLines w:val="0"/>
              <w:pageBreakBefore w:val="0"/>
              <w:kinsoku/>
              <w:overflowPunct/>
              <w:topLinePunct w:val="0"/>
              <w:autoSpaceDE w:val="0"/>
              <w:autoSpaceDN/>
              <w:bidi w:val="0"/>
              <w:adjustRightInd/>
              <w:snapToGrid/>
              <w:spacing w:line="400" w:lineRule="exact"/>
              <w:jc w:val="left"/>
              <w:textAlignment w:val="auto"/>
              <w:rPr>
                <w:rFonts w:hint="default" w:eastAsiaTheme="minorEastAsia"/>
                <w:highlight w:val="none"/>
                <w:lang w:val="en-US" w:eastAsia="zh-CN"/>
              </w:rPr>
            </w:pPr>
            <w:r>
              <w:rPr>
                <w:rFonts w:hint="eastAsia" w:ascii="宋体" w:hAnsi="宋体" w:eastAsia="宋体" w:cs="宋体"/>
                <w:color w:val="000000"/>
                <w:szCs w:val="21"/>
                <w:highlight w:val="none"/>
                <w:u w:color="000000"/>
                <w:lang w:val="en-US" w:eastAsia="zh-CN" w:bidi="ar"/>
              </w:rPr>
              <w:t>详见招标公告</w:t>
            </w:r>
          </w:p>
        </w:tc>
      </w:tr>
      <w:tr w14:paraId="69119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DE2BBB5">
            <w:pPr>
              <w:keepNext w:val="0"/>
              <w:keepLines w:val="0"/>
              <w:pageBreakBefore w:val="0"/>
              <w:kinsoku/>
              <w:overflowPunct/>
              <w:topLinePunct w:val="0"/>
              <w:autoSpaceDN/>
              <w:bidi w:val="0"/>
              <w:adjustRightInd/>
              <w:snapToGrid/>
              <w:spacing w:line="400" w:lineRule="exact"/>
              <w:jc w:val="center"/>
              <w:textAlignment w:val="auto"/>
              <w:rPr>
                <w:rFonts w:hint="eastAsia" w:ascii="宋体" w:cs="宋体" w:eastAsiaTheme="minorEastAsia"/>
                <w:szCs w:val="21"/>
                <w:highlight w:val="none"/>
                <w:lang w:eastAsia="zh-CN"/>
              </w:rPr>
            </w:pPr>
            <w:r>
              <w:rPr>
                <w:rFonts w:hint="eastAsia" w:ascii="宋体" w:cs="宋体"/>
                <w:szCs w:val="21"/>
                <w:highlight w:val="none"/>
              </w:rPr>
              <w:t>2</w:t>
            </w:r>
            <w:r>
              <w:rPr>
                <w:rFonts w:hint="eastAsia" w:ascii="宋体" w:cs="宋体"/>
                <w:szCs w:val="21"/>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D37C59">
            <w:pPr>
              <w:keepNext w:val="0"/>
              <w:keepLines w:val="0"/>
              <w:pageBreakBefore w:val="0"/>
              <w:kinsoku/>
              <w:overflowPunct/>
              <w:topLinePunct w:val="0"/>
              <w:autoSpaceDN/>
              <w:bidi w:val="0"/>
              <w:adjustRightInd/>
              <w:snapToGrid/>
              <w:spacing w:line="400" w:lineRule="exact"/>
              <w:jc w:val="left"/>
              <w:textAlignment w:val="auto"/>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62AE54">
            <w:pPr>
              <w:pStyle w:val="5"/>
              <w:keepNext w:val="0"/>
              <w:keepLines w:val="0"/>
              <w:pageBreakBefore w:val="0"/>
              <w:widowControl/>
              <w:kinsoku/>
              <w:wordWrap w:val="0"/>
              <w:overflowPunct/>
              <w:topLinePunct w:val="0"/>
              <w:autoSpaceDE/>
              <w:autoSpaceDN/>
              <w:bidi w:val="0"/>
              <w:adjustRightInd/>
              <w:snapToGrid/>
              <w:spacing w:line="400" w:lineRule="exact"/>
              <w:ind w:left="0" w:leftChars="0" w:firstLine="0" w:firstLineChars="0"/>
              <w:textAlignment w:val="auto"/>
              <w:rPr>
                <w:rFonts w:hint="eastAsia" w:ascii="Times New Roman" w:hAnsi="Times New Roman" w:eastAsia="宋体" w:cs="Times New Roman"/>
                <w:highlight w:val="none"/>
                <w:lang w:val="en-US" w:eastAsia="zh-CN"/>
              </w:rPr>
            </w:pPr>
            <w:r>
              <w:rPr>
                <w:rFonts w:hint="eastAsia"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Times New Roman" w:hAnsi="Times New Roman" w:eastAsia="宋体" w:cs="Times New Roman"/>
                <w:highlight w:val="none"/>
                <w:lang w:val="en-US" w:eastAsia="zh-CN"/>
              </w:rPr>
              <w:t>。</w:t>
            </w:r>
          </w:p>
          <w:p w14:paraId="1745A86E">
            <w:pPr>
              <w:keepNext w:val="0"/>
              <w:keepLines w:val="0"/>
              <w:pageBreakBefore w:val="0"/>
              <w:kinsoku/>
              <w:overflowPunct/>
              <w:topLinePunct w:val="0"/>
              <w:autoSpaceDN/>
              <w:bidi w:val="0"/>
              <w:adjustRightInd/>
              <w:snapToGrid/>
              <w:spacing w:line="400" w:lineRule="exact"/>
              <w:textAlignment w:val="auto"/>
              <w:rPr>
                <w:rFonts w:ascii="宋体" w:hAnsi="宋体" w:cs="宋体"/>
                <w:szCs w:val="21"/>
                <w:highlight w:val="none"/>
              </w:rPr>
            </w:pP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42550E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0E465F">
            <w:pPr>
              <w:keepNext w:val="0"/>
              <w:keepLines w:val="0"/>
              <w:pageBreakBefore w:val="0"/>
              <w:kinsoku/>
              <w:overflowPunct/>
              <w:topLinePunct w:val="0"/>
              <w:autoSpaceDE w:val="0"/>
              <w:autoSpaceDN/>
              <w:bidi w:val="0"/>
              <w:adjustRightInd/>
              <w:snapToGrid/>
              <w:spacing w:line="400" w:lineRule="exact"/>
              <w:jc w:val="center"/>
              <w:textAlignment w:val="auto"/>
              <w:rPr>
                <w:rFonts w:hint="eastAsia" w:ascii="宋体" w:hAnsi="宋体" w:eastAsia="宋体" w:cs="宋体"/>
                <w:highlight w:val="none"/>
                <w:lang w:eastAsia="zh-CN"/>
              </w:rPr>
            </w:pPr>
            <w:r>
              <w:rPr>
                <w:rFonts w:hint="eastAsia" w:ascii="宋体" w:hAnsi="宋体" w:eastAsia="宋体" w:cs="宋体"/>
                <w:highlight w:val="none"/>
              </w:rPr>
              <w:t>2</w:t>
            </w:r>
            <w:r>
              <w:rPr>
                <w:rFonts w:hint="eastAsia" w:ascii="宋体" w:hAnsi="宋体" w:eastAsia="宋体" w:cs="宋体"/>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8FAA1">
            <w:pPr>
              <w:keepNext w:val="0"/>
              <w:keepLines w:val="0"/>
              <w:pageBreakBefore w:val="0"/>
              <w:kinsoku/>
              <w:overflowPunct/>
              <w:topLinePunct w:val="0"/>
              <w:autoSpaceDN/>
              <w:bidi w:val="0"/>
              <w:adjustRightInd/>
              <w:snapToGrid/>
              <w:spacing w:line="400" w:lineRule="exact"/>
              <w:jc w:val="left"/>
              <w:textAlignment w:val="auto"/>
              <w:rPr>
                <w:rFonts w:ascii="宋体" w:hAnsi="宋体" w:eastAsia="宋体" w:cs="宋体"/>
                <w:highlight w:val="none"/>
              </w:rPr>
            </w:pPr>
            <w:r>
              <w:rPr>
                <w:rFonts w:hint="eastAsia" w:ascii="宋体"/>
                <w:szCs w:val="21"/>
                <w:highlight w:val="none"/>
              </w:rPr>
              <w:t>投标文件及样品提交截止时间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ABAC0B">
            <w:pPr>
              <w:keepNext w:val="0"/>
              <w:keepLines w:val="0"/>
              <w:pageBreakBefore w:val="0"/>
              <w:kinsoku/>
              <w:overflowPunct/>
              <w:topLinePunct w:val="0"/>
              <w:autoSpaceDN/>
              <w:bidi w:val="0"/>
              <w:adjustRightInd/>
              <w:snapToGrid/>
              <w:spacing w:line="400" w:lineRule="exact"/>
              <w:ind w:firstLine="18" w:firstLineChars="9"/>
              <w:textAlignment w:val="auto"/>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17</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14:paraId="231E6B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74785D">
            <w:pPr>
              <w:keepNext w:val="0"/>
              <w:keepLines w:val="0"/>
              <w:pageBreakBefore w:val="0"/>
              <w:kinsoku/>
              <w:overflowPunct/>
              <w:topLinePunct w:val="0"/>
              <w:autoSpaceDE w:val="0"/>
              <w:autoSpaceDN/>
              <w:bidi w:val="0"/>
              <w:adjustRightInd/>
              <w:snapToGrid/>
              <w:spacing w:line="400" w:lineRule="exact"/>
              <w:jc w:val="center"/>
              <w:textAlignment w:val="auto"/>
              <w:rPr>
                <w:rFonts w:hint="eastAsia" w:eastAsia="宋体" w:cs="Times New Roman"/>
                <w:highlight w:val="none"/>
                <w:lang w:eastAsia="zh-CN"/>
              </w:rPr>
            </w:pPr>
            <w:r>
              <w:rPr>
                <w:rFonts w:hint="eastAsia" w:ascii="宋体" w:hAnsi="宋体" w:eastAsia="宋体" w:cs="宋体"/>
                <w:highlight w:val="none"/>
              </w:rPr>
              <w:t>2</w:t>
            </w:r>
            <w:r>
              <w:rPr>
                <w:rFonts w:hint="eastAsia" w:ascii="宋体" w:hAnsi="宋体" w:eastAsia="宋体" w:cs="宋体"/>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93FE66">
            <w:pPr>
              <w:keepNext w:val="0"/>
              <w:keepLines w:val="0"/>
              <w:pageBreakBefore w:val="0"/>
              <w:kinsoku/>
              <w:overflowPunct/>
              <w:topLinePunct w:val="0"/>
              <w:autoSpaceDE w:val="0"/>
              <w:autoSpaceDN/>
              <w:bidi w:val="0"/>
              <w:adjustRightInd/>
              <w:snapToGrid/>
              <w:spacing w:line="400" w:lineRule="exact"/>
              <w:jc w:val="left"/>
              <w:textAlignment w:val="auto"/>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128FC">
            <w:pPr>
              <w:keepNext w:val="0"/>
              <w:keepLines w:val="0"/>
              <w:pageBreakBefore w:val="0"/>
              <w:kinsoku/>
              <w:overflowPunct/>
              <w:topLinePunct w:val="0"/>
              <w:autoSpaceDE w:val="0"/>
              <w:autoSpaceDN/>
              <w:bidi w:val="0"/>
              <w:adjustRightInd/>
              <w:snapToGrid/>
              <w:spacing w:line="400" w:lineRule="exact"/>
              <w:textAlignment w:val="auto"/>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14:paraId="081A9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9A08F">
            <w:pPr>
              <w:keepNext w:val="0"/>
              <w:keepLines w:val="0"/>
              <w:pageBreakBefore w:val="0"/>
              <w:kinsoku/>
              <w:overflowPunct/>
              <w:topLinePunct w:val="0"/>
              <w:autoSpaceDE w:val="0"/>
              <w:autoSpaceDN/>
              <w:bidi w:val="0"/>
              <w:adjustRightInd/>
              <w:snapToGrid/>
              <w:spacing w:line="400" w:lineRule="exact"/>
              <w:jc w:val="center"/>
              <w:textAlignment w:val="auto"/>
              <w:rPr>
                <w:rFonts w:hint="default" w:eastAsia="宋体" w:cs="Times New Roman"/>
                <w:highlight w:val="none"/>
                <w:lang w:val="en-US" w:eastAsia="zh-CN"/>
              </w:rPr>
            </w:pPr>
            <w:r>
              <w:rPr>
                <w:rFonts w:hint="eastAsia" w:ascii="宋体" w:hAnsi="宋体" w:eastAsia="宋体" w:cs="宋体"/>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CF774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left"/>
              <w:textAlignment w:val="auto"/>
              <w:rPr>
                <w:rFonts w:cs="Times New Roman"/>
                <w:highlight w:val="none"/>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DA476">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w:t>
            </w: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17</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w:t>
            </w:r>
            <w:r>
              <w:rPr>
                <w:rFonts w:hint="eastAsia" w:ascii="宋体" w:hAnsi="宋体" w:eastAsia="宋体" w:cs="宋体"/>
                <w:color w:val="000000"/>
                <w:kern w:val="2"/>
                <w:sz w:val="21"/>
                <w:szCs w:val="21"/>
                <w:highlight w:val="none"/>
                <w:u w:color="000000"/>
                <w:lang w:val="en-US" w:eastAsia="zh-CN" w:bidi="ar"/>
              </w:rPr>
              <w:t>（北京时间）</w:t>
            </w:r>
          </w:p>
          <w:p w14:paraId="647E611C">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hint="eastAsia" w:ascii="Times New Roman" w:hAnsi="Times New Roman" w:eastAsia="宋体" w:cs="Times New Roman"/>
                <w:highlight w:val="none"/>
                <w:lang w:val="en-US" w:eastAsia="zh-CN"/>
              </w:rPr>
            </w:pPr>
            <w:r>
              <w:rPr>
                <w:rFonts w:hint="eastAsia" w:ascii="宋体" w:hAnsi="宋体" w:eastAsia="宋体" w:cs="宋体"/>
                <w:color w:val="auto"/>
                <w:szCs w:val="21"/>
                <w:highlight w:val="none"/>
                <w:lang w:val="en-US" w:eastAsia="zh-CN"/>
              </w:rPr>
              <w:t>方式：</w:t>
            </w:r>
            <w:r>
              <w:rPr>
                <w:rFonts w:hint="eastAsia" w:ascii="Times New Roman" w:hAnsi="Times New Roman" w:eastAsia="宋体" w:cs="Times New Roman"/>
                <w:highlight w:val="none"/>
                <w:lang w:val="en-US" w:eastAsia="zh-CN"/>
              </w:rPr>
              <w:t>采用不见面开标，投标人登录滁州市城投工程咨询有限公司不见面开标系统参与网上开标（网址：</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"http://js.etrading.cn/EpointBidOpening/bidopeninghallaction/hall/login）。" </w:instrText>
            </w:r>
            <w:r>
              <w:rPr>
                <w:rFonts w:hint="eastAsia" w:ascii="Times New Roman" w:hAnsi="Times New Roman" w:eastAsia="宋体" w:cs="Times New Roman"/>
                <w:highlight w:val="none"/>
                <w:lang w:val="en-US" w:eastAsia="zh-CN"/>
              </w:rPr>
              <w:fldChar w:fldCharType="separate"/>
            </w:r>
            <w:r>
              <w:rPr>
                <w:rStyle w:val="23"/>
                <w:rFonts w:hint="eastAsia" w:ascii="Times New Roman" w:hAnsi="Times New Roman" w:eastAsia="宋体" w:cs="Times New Roman"/>
                <w:highlight w:val="none"/>
                <w:lang w:val="en-US" w:eastAsia="zh-CN"/>
              </w:rPr>
              <w:t>http://js.etrading.cn/EpointBidOpening/bidopeninghallaction/hall/login）。</w:t>
            </w:r>
            <w:r>
              <w:rPr>
                <w:rFonts w:hint="eastAsia" w:ascii="Times New Roman" w:hAnsi="Times New Roman" w:eastAsia="宋体" w:cs="Times New Roman"/>
                <w:highlight w:val="none"/>
                <w:lang w:val="en-US" w:eastAsia="zh-CN"/>
              </w:rPr>
              <w:fldChar w:fldCharType="end"/>
            </w:r>
          </w:p>
          <w:p w14:paraId="65254F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cs="Times New Roman"/>
                <w:highlight w:val="none"/>
              </w:rPr>
            </w:pPr>
            <w:r>
              <w:rPr>
                <w:rFonts w:hint="eastAsia" w:ascii="宋体" w:hAnsi="宋体" w:eastAsia="宋体" w:cs="宋体"/>
                <w:color w:val="auto"/>
                <w:szCs w:val="21"/>
                <w:highlight w:val="none"/>
                <w:lang w:val="en-US" w:eastAsia="zh-CN"/>
              </w:rPr>
              <w:t>解密时间：投标人须</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 xml:space="preserve"> 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8</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17</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single"/>
                <w:lang w:eastAsia="zh-CN"/>
              </w:rPr>
              <w:t>时</w:t>
            </w:r>
            <w:r>
              <w:rPr>
                <w:rFonts w:hint="eastAsia" w:ascii="宋体" w:hAnsi="宋体" w:eastAsia="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color w:val="auto"/>
                <w:szCs w:val="21"/>
                <w:highlight w:val="none"/>
                <w:u w:val="single"/>
                <w:lang w:val="en-US" w:eastAsia="zh-CN"/>
              </w:rPr>
              <w:t>至2026年8月17日15</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u w:val="single"/>
                <w:lang w:val="en-US" w:eastAsia="zh-CN"/>
              </w:rPr>
              <w:t>解密；未在规定时间内完成解密的，退回其投标文件；如有因系统因系统原因造成的故障，代理机构可申请延迟解密时间。</w:t>
            </w:r>
          </w:p>
        </w:tc>
      </w:tr>
      <w:tr w14:paraId="0A7F2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9AA06C">
            <w:pPr>
              <w:keepNext w:val="0"/>
              <w:keepLines w:val="0"/>
              <w:pageBreakBefore w:val="0"/>
              <w:kinsoku/>
              <w:overflowPunct/>
              <w:topLinePunct w:val="0"/>
              <w:autoSpaceDE w:val="0"/>
              <w:autoSpaceDN/>
              <w:bidi w:val="0"/>
              <w:adjustRightInd/>
              <w:snapToGrid/>
              <w:spacing w:line="400" w:lineRule="exact"/>
              <w:jc w:val="center"/>
              <w:textAlignment w:val="auto"/>
              <w:rPr>
                <w:rFonts w:hint="eastAsia" w:eastAsia="宋体" w:cs="Times New Roman"/>
                <w:highlight w:val="none"/>
                <w:lang w:eastAsia="zh-CN"/>
              </w:rPr>
            </w:pPr>
            <w:r>
              <w:rPr>
                <w:rFonts w:hint="eastAsia" w:ascii="宋体" w:hAnsi="宋体" w:eastAsia="宋体" w:cs="宋体"/>
                <w:highlight w:val="none"/>
              </w:rPr>
              <w:t>2</w:t>
            </w:r>
            <w:r>
              <w:rPr>
                <w:rFonts w:hint="eastAsia" w:ascii="宋体" w:hAnsi="宋体" w:eastAsia="宋体" w:cs="宋体"/>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227537">
            <w:pPr>
              <w:keepNext w:val="0"/>
              <w:keepLines w:val="0"/>
              <w:pageBreakBefore w:val="0"/>
              <w:kinsoku/>
              <w:overflowPunct/>
              <w:topLinePunct w:val="0"/>
              <w:autoSpaceDE w:val="0"/>
              <w:autoSpaceDN/>
              <w:bidi w:val="0"/>
              <w:adjustRightInd/>
              <w:snapToGrid/>
              <w:spacing w:line="400" w:lineRule="exact"/>
              <w:jc w:val="left"/>
              <w:textAlignment w:val="auto"/>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DB418A">
            <w:pPr>
              <w:keepNext w:val="0"/>
              <w:keepLines w:val="0"/>
              <w:pageBreakBefore w:val="0"/>
              <w:kinsoku/>
              <w:overflowPunct/>
              <w:topLinePunct w:val="0"/>
              <w:autoSpaceDE w:val="0"/>
              <w:autoSpaceDN/>
              <w:bidi w:val="0"/>
              <w:adjustRightInd/>
              <w:snapToGrid/>
              <w:spacing w:line="400" w:lineRule="exact"/>
              <w:textAlignment w:val="auto"/>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14:paraId="1F32A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4A706BB">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eastAsia="宋体"/>
                <w:highlight w:val="none"/>
                <w:lang w:val="en-US" w:eastAsia="zh-CN"/>
              </w:rPr>
            </w:pPr>
            <w:r>
              <w:rPr>
                <w:rFonts w:hint="eastAsia"/>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07197F">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039658">
            <w:pPr>
              <w:keepNext w:val="0"/>
              <w:keepLines w:val="0"/>
              <w:pageBreakBefore w:val="0"/>
              <w:kinsoku/>
              <w:overflowPunct/>
              <w:topLinePunct w:val="0"/>
              <w:autoSpaceDE w:val="0"/>
              <w:autoSpaceDN/>
              <w:bidi w:val="0"/>
              <w:adjustRightInd/>
              <w:snapToGrid/>
              <w:spacing w:line="400" w:lineRule="exact"/>
              <w:jc w:val="left"/>
              <w:textAlignment w:val="auto"/>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14:paraId="5D2D94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47AF9F">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eastAsia="宋体"/>
                <w:highlight w:val="none"/>
                <w:lang w:val="en-US" w:eastAsia="zh-CN"/>
              </w:rPr>
            </w:pPr>
            <w:r>
              <w:rPr>
                <w:rFonts w:hint="eastAsia"/>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C3DA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rPr>
                <w:rFonts w:hint="default"/>
                <w:highlight w:val="none"/>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879F1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rPr>
                <w:rFonts w:hint="default"/>
                <w:highlight w:val="none"/>
              </w:rPr>
            </w:pPr>
            <w:r>
              <w:rPr>
                <w:rFonts w:hint="default" w:cs="宋体"/>
                <w:highlight w:val="none"/>
              </w:rPr>
              <w:t>3名，并标明排序。</w:t>
            </w:r>
          </w:p>
        </w:tc>
      </w:tr>
      <w:tr w14:paraId="58AE11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402A91">
            <w:pPr>
              <w:pStyle w:val="12"/>
              <w:keepNext w:val="0"/>
              <w:keepLines w:val="0"/>
              <w:pageBreakBefore w:val="0"/>
              <w:widowControl/>
              <w:kinsoku/>
              <w:overflowPunct/>
              <w:topLinePunct w:val="0"/>
              <w:autoSpaceDE w:val="0"/>
              <w:autoSpaceDN/>
              <w:bidi w:val="0"/>
              <w:adjustRightInd/>
              <w:snapToGrid/>
              <w:spacing w:line="400" w:lineRule="exact"/>
              <w:jc w:val="center"/>
              <w:textAlignment w:val="auto"/>
              <w:rPr>
                <w:rFonts w:hint="default" w:eastAsia="宋体"/>
                <w:highlight w:val="none"/>
                <w:lang w:val="en-US" w:eastAsia="zh-CN"/>
              </w:rPr>
            </w:pPr>
            <w:r>
              <w:rPr>
                <w:rFonts w:hint="eastAsia"/>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DFC78E">
            <w:pPr>
              <w:pStyle w:val="12"/>
              <w:keepNext w:val="0"/>
              <w:keepLines w:val="0"/>
              <w:pageBreakBefore w:val="0"/>
              <w:widowControl/>
              <w:kinsoku/>
              <w:overflowPunct/>
              <w:topLinePunct w:val="0"/>
              <w:autoSpaceDE w:val="0"/>
              <w:autoSpaceDN/>
              <w:bidi w:val="0"/>
              <w:adjustRightInd/>
              <w:snapToGrid/>
              <w:spacing w:line="400" w:lineRule="exact"/>
              <w:jc w:val="left"/>
              <w:textAlignment w:val="auto"/>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8371323">
            <w:pPr>
              <w:keepNext w:val="0"/>
              <w:keepLines w:val="0"/>
              <w:pageBreakBefore w:val="0"/>
              <w:kinsoku/>
              <w:overflowPunct/>
              <w:topLinePunct w:val="0"/>
              <w:autoSpaceDN/>
              <w:bidi w:val="0"/>
              <w:adjustRightInd/>
              <w:snapToGrid/>
              <w:spacing w:line="400" w:lineRule="exact"/>
              <w:textAlignment w:val="auto"/>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14:paraId="070AFDDB">
            <w:pPr>
              <w:pStyle w:val="12"/>
              <w:keepNext w:val="0"/>
              <w:keepLines w:val="0"/>
              <w:pageBreakBefore w:val="0"/>
              <w:widowControl/>
              <w:kinsoku/>
              <w:overflowPunct/>
              <w:topLinePunct w:val="0"/>
              <w:autoSpaceDE w:val="0"/>
              <w:autoSpaceDN/>
              <w:bidi w:val="0"/>
              <w:adjustRightInd/>
              <w:snapToGrid/>
              <w:spacing w:line="400" w:lineRule="exact"/>
              <w:textAlignment w:val="auto"/>
              <w:rPr>
                <w:rFonts w:hint="default"/>
                <w:highlight w:val="none"/>
              </w:rPr>
            </w:pPr>
            <w:r>
              <w:rPr>
                <w:rFonts w:cs="宋体"/>
                <w:highlight w:val="none"/>
              </w:rPr>
              <w:t>公示期限：公示发布次日起3日（如公示第三日为休息日或节假日，则顺延至休息日或节假日后第一个工作日）</w:t>
            </w:r>
          </w:p>
        </w:tc>
      </w:tr>
      <w:tr w14:paraId="087A8C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F8BB00">
            <w:pPr>
              <w:keepNext w:val="0"/>
              <w:keepLines w:val="0"/>
              <w:pageBreakBefore w:val="0"/>
              <w:kinsoku/>
              <w:overflowPunct/>
              <w:topLinePunct w:val="0"/>
              <w:autoSpaceDE w:val="0"/>
              <w:autoSpaceDN/>
              <w:bidi w:val="0"/>
              <w:adjustRightInd/>
              <w:snapToGrid/>
              <w:spacing w:line="400" w:lineRule="exact"/>
              <w:jc w:val="center"/>
              <w:textAlignment w:val="auto"/>
              <w:rPr>
                <w:rFonts w:hint="eastAsia" w:ascii="宋体" w:hAnsi="宋体" w:eastAsia="宋体" w:cs="宋体"/>
                <w:highlight w:val="none"/>
                <w:lang w:eastAsia="zh-CN"/>
              </w:rPr>
            </w:pPr>
            <w:r>
              <w:rPr>
                <w:rFonts w:hint="eastAsia" w:ascii="宋体" w:hAnsi="宋体" w:eastAsia="宋体" w:cs="宋体"/>
                <w:highlight w:val="none"/>
              </w:rPr>
              <w:t>3</w:t>
            </w:r>
            <w:r>
              <w:rPr>
                <w:rFonts w:hint="eastAsia" w:ascii="宋体" w:hAnsi="宋体" w:eastAsia="宋体" w:cs="宋体"/>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E8BC31">
            <w:pPr>
              <w:keepNext w:val="0"/>
              <w:keepLines w:val="0"/>
              <w:pageBreakBefore w:val="0"/>
              <w:kinsoku/>
              <w:overflowPunct/>
              <w:topLinePunct w:val="0"/>
              <w:autoSpaceDE w:val="0"/>
              <w:autoSpaceDN/>
              <w:bidi w:val="0"/>
              <w:adjustRightInd/>
              <w:snapToGrid/>
              <w:spacing w:line="400" w:lineRule="exact"/>
              <w:jc w:val="left"/>
              <w:textAlignment w:val="auto"/>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DC9D41">
            <w:pPr>
              <w:keepNext w:val="0"/>
              <w:keepLines w:val="0"/>
              <w:pageBreakBefore w:val="0"/>
              <w:kinsoku/>
              <w:overflowPunct/>
              <w:topLinePunct w:val="0"/>
              <w:autoSpaceDE w:val="0"/>
              <w:autoSpaceDN/>
              <w:bidi w:val="0"/>
              <w:adjustRightInd/>
              <w:snapToGrid/>
              <w:spacing w:line="400" w:lineRule="exact"/>
              <w:textAlignment w:val="auto"/>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14:paraId="1ACF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053907">
            <w:pPr>
              <w:keepNext w:val="0"/>
              <w:keepLines w:val="0"/>
              <w:pageBreakBefore w:val="0"/>
              <w:kinsoku/>
              <w:overflowPunct/>
              <w:topLinePunct w:val="0"/>
              <w:autoSpaceDE w:val="0"/>
              <w:autoSpaceDN/>
              <w:bidi w:val="0"/>
              <w:adjustRightInd/>
              <w:snapToGrid/>
              <w:spacing w:line="400" w:lineRule="exact"/>
              <w:jc w:val="center"/>
              <w:textAlignment w:val="auto"/>
              <w:rPr>
                <w:rFonts w:hint="eastAsia" w:ascii="宋体" w:hAnsi="宋体" w:eastAsia="宋体" w:cs="宋体"/>
                <w:highlight w:val="none"/>
                <w:lang w:eastAsia="zh-CN"/>
              </w:rPr>
            </w:pPr>
            <w:r>
              <w:rPr>
                <w:rFonts w:hint="eastAsia" w:ascii="宋体" w:hAnsi="宋体" w:eastAsia="宋体" w:cs="宋体"/>
                <w:highlight w:val="none"/>
              </w:rPr>
              <w:t>3</w:t>
            </w:r>
            <w:r>
              <w:rPr>
                <w:rFonts w:hint="eastAsia" w:ascii="宋体" w:hAnsi="宋体" w:eastAsia="宋体" w:cs="宋体"/>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5A547F">
            <w:pPr>
              <w:keepNext w:val="0"/>
              <w:keepLines w:val="0"/>
              <w:pageBreakBefore w:val="0"/>
              <w:kinsoku/>
              <w:overflowPunct/>
              <w:topLinePunct w:val="0"/>
              <w:autoSpaceDE w:val="0"/>
              <w:autoSpaceDN/>
              <w:bidi w:val="0"/>
              <w:adjustRightInd/>
              <w:snapToGrid/>
              <w:spacing w:line="400" w:lineRule="exact"/>
              <w:jc w:val="left"/>
              <w:textAlignment w:val="auto"/>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E876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要求中标人提交履约</w:t>
            </w:r>
            <w:r>
              <w:rPr>
                <w:rFonts w:hint="eastAsia" w:ascii="宋体" w:hAnsi="宋体" w:eastAsia="宋体" w:cs="宋体"/>
                <w:color w:val="auto"/>
                <w:highlight w:val="none"/>
                <w:lang w:val="en-US" w:eastAsia="zh-CN"/>
              </w:rPr>
              <w:t>担保</w:t>
            </w:r>
            <w:r>
              <w:rPr>
                <w:rFonts w:hint="eastAsia" w:ascii="宋体" w:hAnsi="宋体" w:eastAsia="宋体" w:cs="宋体"/>
                <w:color w:val="auto"/>
                <w:highlight w:val="none"/>
              </w:rPr>
              <w:t>。</w:t>
            </w:r>
          </w:p>
          <w:p w14:paraId="57357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形式：支持银行转账、银行电汇、银行保函、担保机构担保、保证保险使用。</w:t>
            </w:r>
          </w:p>
          <w:p w14:paraId="5E79BA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金额：中标合同金额×</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%，取整到千位；</w:t>
            </w:r>
          </w:p>
          <w:p w14:paraId="6AAF13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收款单位：另行通知                  </w:t>
            </w:r>
          </w:p>
          <w:p w14:paraId="586D23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开户银行：另行通知                 </w:t>
            </w:r>
          </w:p>
          <w:p w14:paraId="4358EE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银行账号：另行通知  </w:t>
            </w:r>
          </w:p>
          <w:p w14:paraId="19B8CE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缴纳时限：中标人须在中标通知书发出后30日内完成履约</w:t>
            </w:r>
            <w:r>
              <w:rPr>
                <w:rFonts w:hint="eastAsia" w:ascii="宋体" w:hAnsi="宋体" w:eastAsia="宋体" w:cs="宋体"/>
                <w:color w:val="auto"/>
                <w:highlight w:val="none"/>
                <w:lang w:val="en-US" w:eastAsia="zh-CN"/>
              </w:rPr>
              <w:t>担保</w:t>
            </w:r>
            <w:r>
              <w:rPr>
                <w:rFonts w:hint="eastAsia" w:ascii="宋体" w:hAnsi="宋体" w:eastAsia="宋体" w:cs="宋体"/>
                <w:color w:val="auto"/>
                <w:highlight w:val="none"/>
              </w:rPr>
              <w:t xml:space="preserve">缴纳及合同签订，如未按期交齐履约保证金或未按期签订合同的，视同放弃中标资格，招标人将扣除投标保证金。履约保证金按要求缴纳的，自合同签订之日起5个工作日内退还中标人的投标保证金。 </w:t>
            </w:r>
          </w:p>
          <w:p w14:paraId="32E044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退还时限：</w:t>
            </w:r>
            <w:r>
              <w:rPr>
                <w:rFonts w:hint="eastAsia" w:ascii="宋体" w:hAnsi="宋体" w:eastAsia="宋体" w:cs="宋体"/>
                <w:color w:val="auto"/>
                <w:highlight w:val="none"/>
                <w:lang w:val="en-US" w:eastAsia="zh-CN"/>
              </w:rPr>
              <w:t>中标人在本合同约定的服务期限届满并经招标人验收合格后30日内办理履约保证金（或履约保函）退还手续</w:t>
            </w:r>
            <w:r>
              <w:rPr>
                <w:rFonts w:hint="eastAsia" w:ascii="宋体" w:hAnsi="宋体" w:eastAsia="宋体" w:cs="宋体"/>
                <w:color w:val="auto"/>
                <w:highlight w:val="none"/>
              </w:rPr>
              <w:t>。</w:t>
            </w:r>
          </w:p>
          <w:p w14:paraId="4767AA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其他相关要求：</w:t>
            </w:r>
          </w:p>
          <w:p w14:paraId="3BBD9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1、采用银行保函的具体要求</w:t>
            </w:r>
          </w:p>
          <w:p w14:paraId="3941F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①保函形式须为见索即付型（无条件保函）；</w:t>
            </w:r>
          </w:p>
          <w:p w14:paraId="2926F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②须经招标人认可。</w:t>
            </w:r>
          </w:p>
          <w:p w14:paraId="227AEF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2、采用担保保函的具体要求：须经招标人认可。</w:t>
            </w:r>
          </w:p>
          <w:p w14:paraId="13C4FC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ascii="宋体" w:hAnsi="宋体" w:eastAsia="宋体" w:cs="宋体"/>
                <w:color w:val="000000"/>
                <w:szCs w:val="21"/>
                <w:highlight w:val="none"/>
                <w:u w:color="000000"/>
                <w:lang w:bidi="ar"/>
              </w:rPr>
            </w:pPr>
            <w:r>
              <w:rPr>
                <w:rFonts w:hint="eastAsia" w:ascii="宋体" w:hAnsi="宋体" w:eastAsia="宋体" w:cs="宋体"/>
                <w:color w:val="auto"/>
                <w:highlight w:val="none"/>
              </w:rPr>
              <w:t>3、采用商业保险的具体要求：须经招标人认可。</w:t>
            </w:r>
          </w:p>
        </w:tc>
      </w:tr>
      <w:tr w14:paraId="2FDA5C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8AF2A7">
            <w:pPr>
              <w:keepNext w:val="0"/>
              <w:keepLines w:val="0"/>
              <w:pageBreakBefore w:val="0"/>
              <w:kinsoku/>
              <w:overflowPunct/>
              <w:topLinePunct w:val="0"/>
              <w:autoSpaceDE w:val="0"/>
              <w:autoSpaceDN/>
              <w:bidi w:val="0"/>
              <w:adjustRightInd/>
              <w:snapToGrid/>
              <w:spacing w:line="400" w:lineRule="exact"/>
              <w:textAlignment w:val="auto"/>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12868C">
            <w:pPr>
              <w:keepNext w:val="0"/>
              <w:keepLines w:val="0"/>
              <w:pageBreakBefore w:val="0"/>
              <w:kinsoku/>
              <w:overflowPunct/>
              <w:topLinePunct w:val="0"/>
              <w:autoSpaceDN/>
              <w:bidi w:val="0"/>
              <w:adjustRightInd/>
              <w:snapToGrid/>
              <w:spacing w:line="400" w:lineRule="exact"/>
              <w:jc w:val="left"/>
              <w:textAlignment w:val="auto"/>
              <w:rPr>
                <w:rFonts w:hint="eastAsia" w:ascii="宋体" w:hAnsi="宋体" w:eastAsia="宋体" w:cs="宋体"/>
                <w:highlight w:val="none"/>
                <w:lang w:eastAsia="zh-CN"/>
              </w:rPr>
            </w:pPr>
            <w:r>
              <w:rPr>
                <w:rFonts w:hint="eastAsia" w:ascii="宋体" w:hAnsi="宋体" w:eastAsia="宋体" w:cs="宋体"/>
                <w:spacing w:val="0"/>
                <w:sz w:val="21"/>
                <w:szCs w:val="21"/>
                <w:highlight w:val="none"/>
                <w:lang w:eastAsia="zh-CN"/>
              </w:rPr>
              <w:t>在本合同服务期限届满</w:t>
            </w:r>
            <w:r>
              <w:rPr>
                <w:rFonts w:hint="eastAsia" w:ascii="宋体" w:hAnsi="宋体" w:cs="宋体"/>
                <w:spacing w:val="0"/>
                <w:sz w:val="21"/>
                <w:szCs w:val="21"/>
                <w:highlight w:val="none"/>
                <w:lang w:eastAsia="zh-CN"/>
              </w:rPr>
              <w:t>，</w:t>
            </w:r>
            <w:r>
              <w:rPr>
                <w:rFonts w:hint="eastAsia" w:ascii="Times New Roman" w:hAnsi="Times New Roman" w:eastAsia="宋体" w:cs="Times New Roman"/>
                <w:highlight w:val="none"/>
              </w:rPr>
              <w:t>全部标识标牌及VI需求制作安装完成并经</w:t>
            </w:r>
            <w:r>
              <w:rPr>
                <w:rFonts w:hint="eastAsia" w:ascii="Times New Roman" w:hAnsi="Times New Roman" w:eastAsia="宋体" w:cs="Times New Roman"/>
                <w:highlight w:val="none"/>
                <w:lang w:val="en-US" w:eastAsia="zh-CN"/>
              </w:rPr>
              <w:t>招标人</w:t>
            </w:r>
            <w:r>
              <w:rPr>
                <w:rFonts w:hint="eastAsia" w:ascii="Times New Roman" w:hAnsi="Times New Roman" w:eastAsia="宋体" w:cs="Times New Roman"/>
                <w:highlight w:val="none"/>
              </w:rPr>
              <w:t>验收合格，</w:t>
            </w:r>
            <w:r>
              <w:rPr>
                <w:rFonts w:hint="eastAsia" w:ascii="Times New Roman" w:hAnsi="Times New Roman" w:cs="Times New Roman"/>
                <w:highlight w:val="none"/>
                <w:lang w:val="en-US" w:eastAsia="zh-CN"/>
              </w:rPr>
              <w:t>且</w:t>
            </w:r>
            <w:r>
              <w:rPr>
                <w:rFonts w:hint="eastAsia" w:ascii="Times New Roman" w:hAnsi="Times New Roman" w:eastAsia="宋体" w:cs="Times New Roman"/>
                <w:highlight w:val="none"/>
                <w:lang w:val="en-US" w:eastAsia="zh-CN"/>
              </w:rPr>
              <w:t>中标人</w:t>
            </w:r>
            <w:r>
              <w:rPr>
                <w:rFonts w:hint="eastAsia" w:ascii="Times New Roman" w:hAnsi="Times New Roman" w:eastAsia="宋体" w:cs="Times New Roman"/>
                <w:highlight w:val="none"/>
              </w:rPr>
              <w:t>按</w:t>
            </w:r>
            <w:r>
              <w:rPr>
                <w:rFonts w:hint="eastAsia" w:ascii="Times New Roman" w:hAnsi="Times New Roman" w:eastAsia="宋体" w:cs="Times New Roman"/>
                <w:highlight w:val="none"/>
                <w:lang w:val="en-US" w:eastAsia="zh-CN"/>
              </w:rPr>
              <w:t>招标人</w:t>
            </w:r>
            <w:r>
              <w:rPr>
                <w:rFonts w:hint="eastAsia" w:ascii="Times New Roman" w:hAnsi="Times New Roman" w:eastAsia="宋体" w:cs="Times New Roman"/>
                <w:highlight w:val="none"/>
              </w:rPr>
              <w:t>要求提交正确无误的支付请求、相应服务工作完成证明文件、相应款项的增值税专用发票等有效付款单据后</w:t>
            </w:r>
            <w:r>
              <w:rPr>
                <w:rFonts w:hint="eastAsia" w:ascii="Times New Roman" w:hAnsi="Times New Roman" w:cs="Times New Roman"/>
                <w:highlight w:val="none"/>
                <w:u w:val="single"/>
                <w:lang w:val="en-US" w:eastAsia="zh-CN"/>
              </w:rPr>
              <w:t>30</w:t>
            </w:r>
            <w:r>
              <w:rPr>
                <w:rFonts w:hint="eastAsia" w:ascii="Times New Roman" w:hAnsi="Times New Roman" w:cs="Times New Roman"/>
                <w:highlight w:val="none"/>
                <w:lang w:val="en-US" w:eastAsia="zh-CN"/>
              </w:rPr>
              <w:t>个工作日内，</w:t>
            </w:r>
            <w:r>
              <w:rPr>
                <w:rFonts w:hint="eastAsia" w:ascii="Times New Roman" w:hAnsi="Times New Roman" w:eastAsia="宋体" w:cs="Times New Roman"/>
                <w:highlight w:val="none"/>
              </w:rPr>
              <w:t>一次性付清全部服务费用。</w:t>
            </w:r>
          </w:p>
        </w:tc>
      </w:tr>
      <w:tr w14:paraId="73F61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FABBD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ascii="宋体" w:hAnsi="宋体" w:eastAsia="宋体" w:cs="宋体"/>
                <w:highlight w:val="none"/>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BFF8B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leftChars="0" w:right="0" w:rightChars="0"/>
              <w:jc w:val="both"/>
              <w:textAlignment w:val="auto"/>
              <w:rPr>
                <w:rFonts w:ascii="宋体" w:hAnsi="宋体" w:eastAsia="宋体" w:cs="宋体"/>
                <w:highlight w:val="none"/>
              </w:rPr>
            </w:pPr>
            <w:r>
              <w:rPr>
                <w:rFonts w:hint="eastAsia" w:ascii="宋体" w:hAnsi="宋体" w:eastAsia="宋体" w:cs="宋体"/>
                <w:color w:val="000000"/>
                <w:kern w:val="2"/>
                <w:sz w:val="21"/>
                <w:szCs w:val="21"/>
                <w:highlight w:val="none"/>
                <w:u w:color="000000"/>
                <w:lang w:val="en-US" w:eastAsia="zh-CN" w:bidi="ar"/>
              </w:rPr>
              <w:t>详见招标公告内容</w:t>
            </w:r>
          </w:p>
        </w:tc>
      </w:tr>
      <w:tr w14:paraId="57941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C843C98">
            <w:pPr>
              <w:keepNext w:val="0"/>
              <w:keepLines w:val="0"/>
              <w:pageBreakBefore w:val="0"/>
              <w:kinsoku/>
              <w:overflowPunct/>
              <w:topLinePunct w:val="0"/>
              <w:autoSpaceDN/>
              <w:bidi w:val="0"/>
              <w:adjustRightInd/>
              <w:snapToGrid/>
              <w:spacing w:line="400" w:lineRule="exact"/>
              <w:jc w:val="left"/>
              <w:textAlignment w:val="auto"/>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A56CBC">
            <w:pPr>
              <w:keepNext w:val="0"/>
              <w:keepLines w:val="0"/>
              <w:pageBreakBefore w:val="0"/>
              <w:kinsoku/>
              <w:overflowPunct/>
              <w:topLinePunct w:val="0"/>
              <w:autoSpaceDN/>
              <w:bidi w:val="0"/>
              <w:adjustRightInd/>
              <w:snapToGrid/>
              <w:spacing w:line="400" w:lineRule="exact"/>
              <w:jc w:val="left"/>
              <w:textAlignment w:val="auto"/>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14:paraId="15C87736">
            <w:pPr>
              <w:keepNext w:val="0"/>
              <w:keepLines w:val="0"/>
              <w:pageBreakBefore w:val="0"/>
              <w:kinsoku/>
              <w:overflowPunct/>
              <w:topLinePunct w:val="0"/>
              <w:autoSpaceDN/>
              <w:bidi w:val="0"/>
              <w:adjustRightInd/>
              <w:snapToGrid/>
              <w:spacing w:line="400" w:lineRule="exact"/>
              <w:jc w:val="left"/>
              <w:textAlignment w:val="auto"/>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14:paraId="01B3F87D">
            <w:pPr>
              <w:keepNext w:val="0"/>
              <w:keepLines w:val="0"/>
              <w:pageBreakBefore w:val="0"/>
              <w:kinsoku/>
              <w:overflowPunct/>
              <w:topLinePunct w:val="0"/>
              <w:autoSpaceDN/>
              <w:bidi w:val="0"/>
              <w:adjustRightInd/>
              <w:snapToGrid/>
              <w:spacing w:line="400" w:lineRule="exact"/>
              <w:jc w:val="left"/>
              <w:textAlignment w:val="auto"/>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14:paraId="4CEEE915">
            <w:pPr>
              <w:keepNext w:val="0"/>
              <w:keepLines w:val="0"/>
              <w:pageBreakBefore w:val="0"/>
              <w:kinsoku/>
              <w:overflowPunct/>
              <w:topLinePunct w:val="0"/>
              <w:autoSpaceDN/>
              <w:bidi w:val="0"/>
              <w:adjustRightInd/>
              <w:snapToGrid/>
              <w:spacing w:line="400" w:lineRule="exact"/>
              <w:jc w:val="left"/>
              <w:textAlignment w:val="auto"/>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14:paraId="67860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E96924F">
            <w:pPr>
              <w:keepNext w:val="0"/>
              <w:keepLines w:val="0"/>
              <w:pageBreakBefore w:val="0"/>
              <w:kinsoku/>
              <w:overflowPunct/>
              <w:topLinePunct w:val="0"/>
              <w:autoSpaceDN/>
              <w:bidi w:val="0"/>
              <w:adjustRightInd/>
              <w:snapToGrid/>
              <w:spacing w:line="400" w:lineRule="exact"/>
              <w:jc w:val="left"/>
              <w:textAlignment w:val="auto"/>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62EDA9">
            <w:pPr>
              <w:keepNext w:val="0"/>
              <w:keepLines w:val="0"/>
              <w:pageBreakBefore w:val="0"/>
              <w:kinsoku/>
              <w:overflowPunct/>
              <w:topLinePunct w:val="0"/>
              <w:autoSpaceDN/>
              <w:bidi w:val="0"/>
              <w:adjustRightInd/>
              <w:snapToGrid/>
              <w:spacing w:line="400" w:lineRule="exact"/>
              <w:jc w:val="left"/>
              <w:textAlignment w:val="auto"/>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14:paraId="525CAC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1A75DADC">
            <w:pPr>
              <w:keepNext w:val="0"/>
              <w:keepLines w:val="0"/>
              <w:pageBreakBefore w:val="0"/>
              <w:kinsoku/>
              <w:overflowPunct/>
              <w:topLinePunct w:val="0"/>
              <w:autoSpaceDE w:val="0"/>
              <w:autoSpaceDN/>
              <w:bidi w:val="0"/>
              <w:adjustRightInd/>
              <w:snapToGrid/>
              <w:spacing w:line="400" w:lineRule="exact"/>
              <w:jc w:val="left"/>
              <w:textAlignment w:val="auto"/>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3BCB6390">
            <w:pPr>
              <w:keepNext w:val="0"/>
              <w:keepLines w:val="0"/>
              <w:pageBreakBefore w:val="0"/>
              <w:kinsoku/>
              <w:overflowPunct/>
              <w:topLinePunct w:val="0"/>
              <w:autoSpaceDN/>
              <w:bidi w:val="0"/>
              <w:adjustRightInd/>
              <w:snapToGrid/>
              <w:spacing w:line="400" w:lineRule="exact"/>
              <w:jc w:val="left"/>
              <w:textAlignment w:val="auto"/>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0BC39B4A">
            <w:pPr>
              <w:keepNext w:val="0"/>
              <w:keepLines w:val="0"/>
              <w:pageBreakBefore w:val="0"/>
              <w:kinsoku/>
              <w:overflowPunct/>
              <w:topLinePunct w:val="0"/>
              <w:autoSpaceDN/>
              <w:bidi w:val="0"/>
              <w:adjustRightInd/>
              <w:snapToGrid/>
              <w:spacing w:line="400" w:lineRule="exact"/>
              <w:jc w:val="left"/>
              <w:textAlignment w:val="auto"/>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584401C6">
            <w:pPr>
              <w:keepNext w:val="0"/>
              <w:keepLines w:val="0"/>
              <w:pageBreakBefore w:val="0"/>
              <w:kinsoku/>
              <w:overflowPunct/>
              <w:topLinePunct w:val="0"/>
              <w:autoSpaceDN/>
              <w:bidi w:val="0"/>
              <w:adjustRightInd/>
              <w:snapToGrid/>
              <w:spacing w:line="400" w:lineRule="exact"/>
              <w:jc w:val="left"/>
              <w:textAlignment w:val="auto"/>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14:paraId="1F1CAC9E">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14:paraId="27337985">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14:paraId="0A332A5E">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14:paraId="7D00F36E">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14:paraId="6BEE4AD1">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14:paraId="136B17B2">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14:paraId="2C934AE5">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w:t>
      </w:r>
      <w:r>
        <w:rPr>
          <w:rFonts w:hint="eastAsia" w:ascii="宋体" w:hAnsi="宋体" w:eastAsia="宋体" w:cs="宋体"/>
          <w:color w:val="000000"/>
          <w:kern w:val="0"/>
          <w:szCs w:val="21"/>
          <w:highlight w:val="none"/>
          <w:u w:color="000000"/>
          <w:lang w:val="en-US" w:eastAsia="zh-CN" w:bidi="ar"/>
        </w:rPr>
        <w:t>服务</w:t>
      </w:r>
      <w:r>
        <w:rPr>
          <w:rFonts w:hint="eastAsia" w:ascii="宋体" w:hAnsi="宋体" w:eastAsia="宋体" w:cs="宋体"/>
          <w:color w:val="000000"/>
          <w:kern w:val="0"/>
          <w:szCs w:val="21"/>
          <w:highlight w:val="none"/>
          <w:u w:color="000000"/>
          <w:lang w:bidi="ar"/>
        </w:rPr>
        <w:t>期：见投标人须知前附表。</w:t>
      </w:r>
    </w:p>
    <w:p w14:paraId="2FCC938C">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w:t>
      </w:r>
      <w:r>
        <w:rPr>
          <w:rFonts w:hint="eastAsia" w:ascii="宋体" w:hAnsi="宋体" w:eastAsia="宋体" w:cs="宋体"/>
          <w:color w:val="000000"/>
          <w:kern w:val="0"/>
          <w:szCs w:val="21"/>
          <w:highlight w:val="none"/>
          <w:u w:color="000000"/>
          <w:lang w:val="en-US" w:eastAsia="zh-CN" w:bidi="ar"/>
        </w:rPr>
        <w:t>服务</w:t>
      </w:r>
      <w:r>
        <w:rPr>
          <w:rFonts w:hint="eastAsia" w:ascii="宋体" w:hAnsi="宋体" w:eastAsia="宋体" w:cs="宋体"/>
          <w:color w:val="000000"/>
          <w:kern w:val="0"/>
          <w:szCs w:val="21"/>
          <w:highlight w:val="none"/>
          <w:u w:color="000000"/>
          <w:lang w:bidi="ar"/>
        </w:rPr>
        <w:t>地点：见投标人须知前附表。</w:t>
      </w:r>
    </w:p>
    <w:p w14:paraId="03993779">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14:paraId="7C028D5D">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14:paraId="1B7BF5F5">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14:paraId="7543914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14:paraId="13A1D24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14:paraId="421B578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14:paraId="071B3A01">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14:paraId="727E1E4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14:paraId="513620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14:paraId="289CC7B2">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14:paraId="5F220A0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14:paraId="46DEF1C0">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14:paraId="124A749D">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14:paraId="1E4B9751">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固定单价 。  </w:t>
      </w:r>
      <w:r>
        <w:rPr>
          <w:rFonts w:hint="eastAsia" w:ascii="宋体"/>
          <w:szCs w:val="21"/>
          <w:highlight w:val="none"/>
        </w:rPr>
        <w:t>招标范围内中标综合单价一次性包死，结算时不予调整。</w:t>
      </w:r>
    </w:p>
    <w:p w14:paraId="3094F171">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14:paraId="126F3EE3">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szCs w:val="21"/>
          <w:highlight w:val="none"/>
          <w:u w:val="single"/>
        </w:rPr>
        <w:t>综合评估法</w:t>
      </w:r>
      <w:r>
        <w:rPr>
          <w:rFonts w:hint="eastAsia" w:ascii="宋体" w:hAnsi="宋体" w:eastAsia="宋体" w:cs="宋体"/>
          <w:color w:val="000000"/>
          <w:kern w:val="0"/>
          <w:szCs w:val="21"/>
          <w:highlight w:val="none"/>
          <w:u w:val="single" w:color="000000"/>
          <w:lang w:bidi="ar"/>
        </w:rPr>
        <w:t xml:space="preserve"> 。</w:t>
      </w:r>
      <w:r>
        <w:rPr>
          <w:rFonts w:hint="eastAsia" w:ascii="宋体" w:hAnsi="宋体" w:eastAsia="宋体" w:cs="宋体"/>
          <w:color w:val="000000"/>
          <w:kern w:val="0"/>
          <w:szCs w:val="21"/>
          <w:highlight w:val="none"/>
          <w:u w:color="000000"/>
          <w:lang w:bidi="ar"/>
        </w:rPr>
        <w:t>（详见第三章评标办法）</w:t>
      </w:r>
    </w:p>
    <w:p w14:paraId="11B9093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14:paraId="38C7B04E">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14:paraId="7EBCBE9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14:paraId="266E3154">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14:paraId="3699B255">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152042315"/>
      <w:bookmarkEnd w:id="22"/>
      <w:bookmarkStart w:id="23" w:name="_Toc144974507"/>
      <w:bookmarkEnd w:id="23"/>
      <w:bookmarkStart w:id="24" w:name="_Toc247513962"/>
      <w:bookmarkEnd w:id="24"/>
      <w:bookmarkStart w:id="25" w:name="_Toc152045539"/>
      <w:bookmarkEnd w:id="25"/>
      <w:bookmarkStart w:id="26" w:name="_Toc296602429"/>
      <w:bookmarkEnd w:id="26"/>
      <w:bookmarkStart w:id="27" w:name="_Toc247527563"/>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14:paraId="761C228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14:paraId="519658FF">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14:paraId="6C754E04">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14:paraId="066FC9DD">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247148D9">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14:paraId="5D9B21D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14:paraId="1AED9306">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14:paraId="661843CC">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14:paraId="2CE135B3">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14:paraId="4926EC0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14:paraId="7839B628">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14:paraId="3B19BC5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14:paraId="48B16F33">
      <w:pPr>
        <w:spacing w:line="360" w:lineRule="auto"/>
        <w:ind w:firstLine="420" w:firstLineChars="200"/>
        <w:rPr>
          <w:rFonts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6F2A7D5">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14:paraId="1C49006F">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14:paraId="2070B9F9">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14:paraId="21B39CEA">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14:paraId="660A8DF5">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14:paraId="06A16B5F">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14:paraId="1D739B19">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50413D10">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14:paraId="6F1DCA60">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2764D1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14:paraId="39D5657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14:paraId="697A32C5">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14:paraId="2697958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14:paraId="26D80B72">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14:paraId="0926A271">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14:paraId="1F37087F">
      <w:pPr>
        <w:widowControl/>
        <w:autoSpaceDE w:val="0"/>
        <w:spacing w:line="400" w:lineRule="exact"/>
        <w:ind w:firstLine="420" w:firstLineChars="200"/>
        <w:rPr>
          <w:rFonts w:hint="eastAsia"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第二章  投标须知</w:t>
      </w:r>
    </w:p>
    <w:p w14:paraId="4D6B557C">
      <w:pPr>
        <w:widowControl/>
        <w:autoSpaceDE w:val="0"/>
        <w:spacing w:line="400" w:lineRule="exact"/>
        <w:ind w:firstLine="420" w:firstLineChars="200"/>
        <w:rPr>
          <w:rFonts w:hint="default" w:ascii="宋体" w:hAnsi="宋体" w:eastAsia="宋体" w:cs="宋体"/>
          <w:color w:val="000000"/>
          <w:kern w:val="0"/>
          <w:szCs w:val="21"/>
          <w:highlight w:val="none"/>
          <w:u w:color="000000"/>
          <w:lang w:val="en-US" w:eastAsia="zh-CN" w:bidi="ar"/>
        </w:rPr>
      </w:pPr>
      <w:r>
        <w:rPr>
          <w:rFonts w:hint="eastAsia" w:ascii="宋体" w:hAnsi="宋体" w:eastAsia="宋体" w:cs="宋体"/>
          <w:color w:val="000000"/>
          <w:kern w:val="0"/>
          <w:szCs w:val="21"/>
          <w:highlight w:val="none"/>
          <w:u w:color="000000"/>
          <w:lang w:val="en-US" w:eastAsia="zh-CN" w:bidi="ar"/>
        </w:rPr>
        <w:t>第三章  资格审查办法</w:t>
      </w:r>
    </w:p>
    <w:p w14:paraId="4C30D145">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w:t>
      </w:r>
      <w:r>
        <w:rPr>
          <w:rFonts w:hint="eastAsia" w:ascii="宋体" w:hAnsi="宋体" w:eastAsia="宋体" w:cs="宋体"/>
          <w:color w:val="000000"/>
          <w:kern w:val="0"/>
          <w:szCs w:val="21"/>
          <w:highlight w:val="none"/>
          <w:u w:color="000000"/>
          <w:lang w:val="en-US" w:eastAsia="zh-CN" w:bidi="ar"/>
        </w:rPr>
        <w:t>四</w:t>
      </w:r>
      <w:r>
        <w:rPr>
          <w:rFonts w:hint="eastAsia" w:ascii="宋体" w:hAnsi="宋体" w:eastAsia="宋体" w:cs="宋体"/>
          <w:color w:val="000000"/>
          <w:kern w:val="0"/>
          <w:szCs w:val="21"/>
          <w:highlight w:val="none"/>
          <w:u w:color="000000"/>
          <w:lang w:bidi="ar"/>
        </w:rPr>
        <w:t>章  评标办法</w:t>
      </w:r>
    </w:p>
    <w:p w14:paraId="01F88D8B">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第</w:t>
      </w:r>
      <w:r>
        <w:rPr>
          <w:rFonts w:hint="eastAsia" w:ascii="宋体" w:hAnsi="宋体" w:eastAsia="宋体" w:cs="宋体"/>
          <w:color w:val="000000"/>
          <w:kern w:val="0"/>
          <w:szCs w:val="21"/>
          <w:highlight w:val="none"/>
          <w:u w:color="000000"/>
          <w:lang w:val="en-US" w:eastAsia="zh-CN" w:bidi="ar"/>
        </w:rPr>
        <w:t>五</w:t>
      </w:r>
      <w:r>
        <w:rPr>
          <w:rFonts w:hint="eastAsia" w:ascii="宋体" w:hAnsi="宋体" w:eastAsia="宋体" w:cs="宋体"/>
          <w:color w:val="000000"/>
          <w:kern w:val="0"/>
          <w:szCs w:val="21"/>
          <w:highlight w:val="none"/>
          <w:u w:color="000000"/>
          <w:lang w:bidi="ar"/>
        </w:rPr>
        <w:t xml:space="preserve">章  </w:t>
      </w:r>
      <w:r>
        <w:rPr>
          <w:rFonts w:hint="eastAsia" w:ascii="宋体" w:eastAsia="宋体" w:cs="宋体"/>
          <w:szCs w:val="21"/>
          <w:highlight w:val="none"/>
        </w:rPr>
        <w:t>用户需求书</w:t>
      </w:r>
    </w:p>
    <w:p w14:paraId="21A2E1C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w:t>
      </w:r>
      <w:r>
        <w:rPr>
          <w:rFonts w:hint="eastAsia" w:ascii="宋体" w:hAnsi="宋体" w:eastAsia="宋体" w:cs="宋体"/>
          <w:color w:val="000000"/>
          <w:kern w:val="0"/>
          <w:szCs w:val="21"/>
          <w:highlight w:val="none"/>
          <w:u w:color="000000"/>
          <w:lang w:val="en-US" w:eastAsia="zh-CN" w:bidi="ar"/>
        </w:rPr>
        <w:t>六</w:t>
      </w:r>
      <w:r>
        <w:rPr>
          <w:rFonts w:hint="eastAsia" w:ascii="宋体" w:hAnsi="宋体" w:eastAsia="宋体" w:cs="宋体"/>
          <w:color w:val="000000"/>
          <w:kern w:val="0"/>
          <w:szCs w:val="21"/>
          <w:highlight w:val="none"/>
          <w:u w:color="000000"/>
          <w:lang w:bidi="ar"/>
        </w:rPr>
        <w:t>章  合同条款及格式</w:t>
      </w:r>
    </w:p>
    <w:p w14:paraId="28CD039C">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w:t>
      </w:r>
      <w:r>
        <w:rPr>
          <w:rFonts w:hint="eastAsia" w:ascii="宋体" w:hAnsi="宋体" w:eastAsia="宋体" w:cs="宋体"/>
          <w:color w:val="000000"/>
          <w:kern w:val="0"/>
          <w:szCs w:val="21"/>
          <w:highlight w:val="none"/>
          <w:u w:color="000000"/>
          <w:lang w:val="en-US" w:eastAsia="zh-CN" w:bidi="ar"/>
        </w:rPr>
        <w:t>七</w:t>
      </w:r>
      <w:r>
        <w:rPr>
          <w:rFonts w:hint="eastAsia" w:ascii="宋体" w:hAnsi="宋体" w:eastAsia="宋体" w:cs="宋体"/>
          <w:color w:val="000000"/>
          <w:kern w:val="0"/>
          <w:szCs w:val="21"/>
          <w:highlight w:val="none"/>
          <w:u w:color="000000"/>
          <w:lang w:bidi="ar"/>
        </w:rPr>
        <w:t>章  投标文件格式文本</w:t>
      </w:r>
    </w:p>
    <w:p w14:paraId="58C22150">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w:t>
      </w:r>
      <w:r>
        <w:rPr>
          <w:rFonts w:hint="eastAsia" w:ascii="宋体" w:hAnsi="宋体" w:eastAsia="宋体" w:cs="宋体"/>
          <w:color w:val="000000"/>
          <w:kern w:val="0"/>
          <w:szCs w:val="21"/>
          <w:highlight w:val="none"/>
          <w:u w:color="000000"/>
          <w:lang w:val="en-US" w:eastAsia="zh-CN" w:bidi="ar"/>
        </w:rPr>
        <w:t>八</w:t>
      </w:r>
      <w:r>
        <w:rPr>
          <w:rFonts w:hint="eastAsia" w:ascii="宋体" w:hAnsi="宋体" w:eastAsia="宋体" w:cs="宋体"/>
          <w:color w:val="000000"/>
          <w:kern w:val="0"/>
          <w:szCs w:val="21"/>
          <w:highlight w:val="none"/>
          <w:u w:color="000000"/>
          <w:lang w:bidi="ar"/>
        </w:rPr>
        <w:t>章  招标人、招标代理机构对本文件的确认</w:t>
      </w:r>
    </w:p>
    <w:p w14:paraId="65C6B6BB">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14:paraId="5EADA4EB">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14:paraId="7E8AFC57">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74C14B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17.招标文件的澄清</w:t>
      </w:r>
    </w:p>
    <w:p w14:paraId="47165EF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17</w:t>
      </w:r>
      <w:r>
        <w:rPr>
          <w:rFonts w:hint="eastAsia" w:ascii="宋体" w:hAnsi="宋体" w:cs="宋体"/>
          <w:szCs w:val="21"/>
          <w:highlight w:val="none"/>
        </w:rPr>
        <w:t>.1 投标人应仔细阅读和检查招标文件的全部内容。如有疑问，应在投标人须知前附表规定的时间前</w:t>
      </w:r>
      <w:r>
        <w:rPr>
          <w:rFonts w:hint="eastAsia" w:ascii="宋体" w:hAnsi="宋体" w:eastAsia="宋体" w:cs="宋体"/>
          <w:color w:val="auto"/>
          <w:szCs w:val="21"/>
          <w:highlight w:val="none"/>
          <w:lang w:val="en-US" w:eastAsia="zh-CN"/>
        </w:rPr>
        <w:t>登录新点电子交易平台【滁州专区】线上提出，</w:t>
      </w:r>
      <w:r>
        <w:rPr>
          <w:rFonts w:hint="eastAsia" w:ascii="宋体" w:hAnsi="宋体" w:cs="宋体"/>
          <w:szCs w:val="21"/>
          <w:highlight w:val="none"/>
        </w:rPr>
        <w:t>要求招标人对招标文件予以澄清。</w:t>
      </w:r>
    </w:p>
    <w:p w14:paraId="387EA73C">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lang w:val="en-US" w:eastAsia="zh-CN"/>
        </w:rPr>
        <w:t>17</w:t>
      </w:r>
      <w:r>
        <w:rPr>
          <w:rFonts w:hint="eastAsia" w:ascii="宋体" w:hAnsi="宋体" w:cs="宋体"/>
          <w:szCs w:val="21"/>
          <w:highlight w:val="none"/>
        </w:rPr>
        <w:t>.2 招标文件的澄清将在滁州市滁宁城际铁路开发建设有限公司网站http://www.czctgs.cn；中国采购与招标网http://chinabidding.com.cn；中国招投标网http://www.infobidding.com；e车网http://www.ecrrc.com</w:t>
      </w:r>
      <w:r>
        <w:rPr>
          <w:rFonts w:hint="eastAsia" w:ascii="宋体" w:hAnsi="宋体" w:cs="宋体"/>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cs="宋体"/>
          <w:szCs w:val="21"/>
          <w:highlight w:val="none"/>
        </w:rPr>
        <w:t xml:space="preserve">发布，但不指明澄清问题的来源。如果澄清发出的时间距投标人须知前附表规定的投标截止时间不足15天，并且澄清内容影响投标文件编制的，将相应延长投标截止时间。 </w:t>
      </w:r>
    </w:p>
    <w:p w14:paraId="272FFBD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18.招标文件的修改</w:t>
      </w:r>
    </w:p>
    <w:p w14:paraId="52844B25">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ascii="宋体" w:hAnsi="宋体" w:cs="宋体"/>
          <w:szCs w:val="21"/>
          <w:highlight w:val="none"/>
        </w:rPr>
      </w:pPr>
      <w:r>
        <w:rPr>
          <w:rFonts w:hint="eastAsia" w:ascii="宋体" w:hAnsi="宋体" w:eastAsia="宋体" w:cs="宋体"/>
          <w:bCs/>
          <w:color w:val="000000"/>
          <w:kern w:val="0"/>
          <w:sz w:val="21"/>
          <w:szCs w:val="21"/>
          <w:highlight w:val="none"/>
          <w:u w:color="000000"/>
          <w:lang w:val="en-US" w:eastAsia="zh-CN" w:bidi="ar"/>
        </w:rPr>
        <w:t>18.1</w:t>
      </w:r>
      <w:r>
        <w:rPr>
          <w:rFonts w:hint="eastAsia" w:ascii="宋体" w:hAnsi="宋体" w:cs="宋体"/>
          <w:szCs w:val="21"/>
          <w:highlight w:val="none"/>
        </w:rPr>
        <w:t>招标人可以修改招标文件，并以澄清的方式在滁州市滁宁城际铁路开发建设有限公司网站http://www.czctgs.cn；中国采购与招标网http://chinabidding.com.cn；中国招投标网http://www.infobidding.com；e车网http://www.ecrrc.com</w:t>
      </w:r>
      <w:r>
        <w:rPr>
          <w:rFonts w:hint="eastAsia" w:ascii="宋体" w:hAnsi="宋体" w:cs="宋体"/>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cs="宋体"/>
          <w:szCs w:val="21"/>
          <w:highlight w:val="none"/>
        </w:rPr>
        <w:t>发布。但如果修改内容影响投标文件编制的，将相应延长投标截止时间。</w:t>
      </w:r>
    </w:p>
    <w:p w14:paraId="1B4C7ABE">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19.样品</w:t>
      </w:r>
      <w:bookmarkEnd w:id="32"/>
    </w:p>
    <w:p w14:paraId="55381670">
      <w:pPr>
        <w:spacing w:line="440" w:lineRule="exact"/>
        <w:ind w:firstLine="420" w:firstLineChars="200"/>
        <w:rPr>
          <w:rFonts w:ascii="宋体"/>
          <w:szCs w:val="21"/>
          <w:highlight w:val="none"/>
        </w:rPr>
      </w:pPr>
      <w:r>
        <w:rPr>
          <w:rFonts w:hint="eastAsia" w:ascii="宋体"/>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2CAEF69D">
      <w:pPr>
        <w:spacing w:line="440" w:lineRule="exact"/>
        <w:ind w:firstLine="420" w:firstLineChars="200"/>
        <w:rPr>
          <w:rFonts w:ascii="宋体"/>
          <w:szCs w:val="21"/>
          <w:highlight w:val="none"/>
        </w:rPr>
      </w:pPr>
      <w:r>
        <w:rPr>
          <w:rFonts w:hint="eastAsia" w:ascii="宋体"/>
          <w:szCs w:val="21"/>
          <w:highlight w:val="none"/>
        </w:rPr>
        <w:t>19.2招标文件中应明确样品送检方式、检测费用支付方法、投标人在规定时间内无法提供第三方权威检测机构检测报告的处理方式。</w:t>
      </w:r>
    </w:p>
    <w:p w14:paraId="6B7745E1">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14:paraId="008EDCFF">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14:paraId="66546427">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14:paraId="4F2DF032">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14:paraId="7C5AF998">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14:paraId="213DD7D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21.1投标文件的组成</w:t>
      </w:r>
    </w:p>
    <w:p w14:paraId="458D520D">
      <w:pPr>
        <w:spacing w:line="440" w:lineRule="exact"/>
        <w:ind w:firstLine="420" w:firstLineChars="200"/>
        <w:jc w:val="left"/>
        <w:rPr>
          <w:rFonts w:hint="default"/>
          <w:highlight w:val="none"/>
          <w:lang w:val="en-US" w:eastAsia="zh-CN"/>
        </w:rPr>
      </w:pPr>
      <w:r>
        <w:rPr>
          <w:rFonts w:hint="eastAsia" w:ascii="宋体" w:hAnsi="宋体" w:cs="宋体"/>
          <w:szCs w:val="21"/>
          <w:highlight w:val="none"/>
        </w:rPr>
        <w:t>具体要求详见本招标文件第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w:t>
      </w:r>
    </w:p>
    <w:p w14:paraId="737C25F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79914AB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投标文件应按第七章“投标文件格式”进行编写，如有必要，可以增加附页，作为投标文件的组成部分。</w:t>
      </w:r>
    </w:p>
    <w:p w14:paraId="71BD3A8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14:paraId="438B0681">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14:paraId="4B19634E">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14:paraId="32D39B3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22.3投标报价的综合单价包括完成本项目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3BC7981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22.4投标报价的价格是完成项目全部内容（包括后期的相关服务）的价格，其单价即为履行合同的固定单价。</w:t>
      </w:r>
      <w:r>
        <w:rPr>
          <w:rFonts w:hint="eastAsia" w:ascii="宋体" w:hAnsi="宋体" w:eastAsia="宋体" w:cs="宋体"/>
          <w:bCs/>
          <w:color w:val="000000"/>
          <w:kern w:val="0"/>
          <w:sz w:val="21"/>
          <w:szCs w:val="21"/>
          <w:highlight w:val="none"/>
          <w:u w:color="000000"/>
          <w:lang w:val="en-US" w:eastAsia="zh-CN" w:bidi="ar"/>
        </w:rPr>
        <w:t>在合同履行期间，如遇国家的税率调整或其他政策影响税率的，税率随变化而变化，则合同价款不做调整。</w:t>
      </w:r>
    </w:p>
    <w:p w14:paraId="728E79D9">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14:paraId="001D4FD4">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14:paraId="21024D63">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14:paraId="3CBF4DEF">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5BBEB4CB">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14:paraId="1697CC89">
      <w:pPr>
        <w:spacing w:line="440" w:lineRule="exact"/>
        <w:ind w:firstLine="420" w:firstLineChars="200"/>
        <w:rPr>
          <w:rFonts w:hint="eastAsia" w:ascii="宋体"/>
          <w:szCs w:val="21"/>
          <w:highlight w:val="none"/>
        </w:rPr>
      </w:pPr>
      <w:r>
        <w:rPr>
          <w:rFonts w:hint="eastAsia" w:ascii="宋体"/>
          <w:szCs w:val="21"/>
          <w:highlight w:val="none"/>
        </w:rPr>
        <w:t xml:space="preserve">23.1 </w:t>
      </w:r>
      <w:r>
        <w:rPr>
          <w:rFonts w:hint="eastAsia" w:ascii="宋体"/>
          <w:color w:val="000000"/>
          <w:szCs w:val="21"/>
          <w:highlight w:val="none"/>
        </w:rPr>
        <w:t>投标有效期见投标人须知前附表。</w:t>
      </w:r>
    </w:p>
    <w:p w14:paraId="7277BB0A">
      <w:pPr>
        <w:spacing w:line="440" w:lineRule="exact"/>
        <w:ind w:firstLine="420" w:firstLineChars="200"/>
        <w:rPr>
          <w:rFonts w:hint="eastAsia" w:ascii="宋体"/>
          <w:szCs w:val="21"/>
          <w:highlight w:val="none"/>
        </w:rPr>
      </w:pPr>
      <w:r>
        <w:rPr>
          <w:rFonts w:hint="eastAsia" w:ascii="宋体"/>
          <w:szCs w:val="21"/>
          <w:highlight w:val="none"/>
        </w:rPr>
        <w:t>23.2在投标有效期内，投标人撤销或修改其投标文件的，应承担招标文件和法律规定的责任。</w:t>
      </w:r>
    </w:p>
    <w:p w14:paraId="43C3CA22">
      <w:pPr>
        <w:spacing w:line="440" w:lineRule="exact"/>
        <w:ind w:firstLine="420" w:firstLineChars="200"/>
        <w:rPr>
          <w:rFonts w:ascii="宋体" w:hAnsi="宋体" w:eastAsia="宋体" w:cs="宋体"/>
          <w:highlight w:val="none"/>
        </w:rPr>
      </w:pPr>
      <w:r>
        <w:rPr>
          <w:rFonts w:hint="eastAsia" w:ascii="宋体"/>
          <w:szCs w:val="21"/>
          <w:highlight w:val="none"/>
        </w:rPr>
        <w:t>23.3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4B4279BA">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5AD59A2">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（四）投标文件的递交</w:t>
      </w:r>
      <w:bookmarkEnd w:id="34"/>
    </w:p>
    <w:p w14:paraId="79B60E3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30407_WPSOffice_Level3"/>
      <w:bookmarkEnd w:id="35"/>
      <w:bookmarkStart w:id="36" w:name="_Toc490"/>
      <w:bookmarkEnd w:id="36"/>
      <w:r>
        <w:rPr>
          <w:rFonts w:hint="eastAsia" w:ascii="宋体" w:hAnsi="宋体" w:eastAsia="宋体" w:cs="宋体"/>
          <w:b/>
          <w:color w:val="000000"/>
          <w:kern w:val="0"/>
          <w:szCs w:val="21"/>
          <w:highlight w:val="none"/>
          <w:u w:color="000000"/>
          <w:lang w:bidi="ar"/>
        </w:rPr>
        <w:t>25.投标文件的份数和签署</w:t>
      </w:r>
    </w:p>
    <w:p w14:paraId="438C229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加密文件。投标人中标后须递交与网上电子投标文件完全一致的纸质版投标文件，并按要求加盖公章；份数：正本1份，副本2份；中标单位领取中标通知书时，一并递交给招标代理机构。</w:t>
      </w:r>
    </w:p>
    <w:p w14:paraId="27A1DC7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780FD4C4">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14:paraId="7A316E1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Times New Roman" w:hAnsi="Times New Roman" w:eastAsia="宋体"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宋体" w:hAnsi="宋体" w:eastAsia="宋体" w:cs="宋体"/>
          <w:szCs w:val="21"/>
          <w:highlight w:val="none"/>
          <w:lang w:val="en-US" w:eastAsia="zh-CN"/>
        </w:rPr>
        <w:t>投标人逾期上传投标文件的，电子系统不予受理。</w:t>
      </w:r>
    </w:p>
    <w:p w14:paraId="3EA70F56">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14:paraId="06704F6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27.1在规定的投标截止时间前，投标人可以自行从网上招投标系统撤回已递交的投标文件，并可修改后重新上传，开标时以投标截止时间前投标人最终上传的投标文件为准。</w:t>
      </w:r>
    </w:p>
    <w:p w14:paraId="362658F7">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14:paraId="67DEE227">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14:paraId="527F0F92">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14:paraId="3ED4A321">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w:t>
      </w:r>
      <w:r>
        <w:rPr>
          <w:rFonts w:hint="eastAsia" w:ascii="宋体" w:hAnsi="宋体" w:cs="宋体"/>
          <w:szCs w:val="21"/>
          <w:highlight w:val="none"/>
        </w:rPr>
        <w:t>招标人在投标人须知前附表规定的投标截止时间（开标时间）和地点公开开标。</w:t>
      </w:r>
    </w:p>
    <w:p w14:paraId="2AE4183E">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28.2开标程序</w:t>
      </w:r>
    </w:p>
    <w:p w14:paraId="60B8AF50">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48F4001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8C8CDF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（2）宣布采购人、代理机构主持人等有关人员姓名；</w:t>
      </w:r>
    </w:p>
    <w:p w14:paraId="74FDE57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40B3143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3FBC06A3">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14:paraId="1A362923">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8199267">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14:paraId="0B62D201">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14:paraId="62A03C30">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14:paraId="20280726">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14:paraId="353E9666">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14:paraId="40663414">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14:paraId="6477C12C">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14:paraId="1B530CB5">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14:paraId="5D06CF53">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14:paraId="357A79D1">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14:paraId="50B12A0C">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14:paraId="55EE0902">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14:paraId="4FC4E8F3">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14:paraId="74686F45">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14:paraId="68F8B53E">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14:paraId="57EF5139">
      <w:pPr>
        <w:widowControl/>
        <w:autoSpaceDE w:val="0"/>
        <w:spacing w:line="440" w:lineRule="exact"/>
        <w:ind w:firstLine="420" w:firstLineChars="200"/>
        <w:jc w:val="left"/>
        <w:rPr>
          <w:rFonts w:ascii="宋体" w:hAnsi="宋体" w:eastAsia="宋体" w:cs="宋体"/>
          <w:highlight w:val="none"/>
        </w:rPr>
      </w:pPr>
      <w:bookmarkStart w:id="39" w:name="_Toc5272_WPSOffice_Level3"/>
      <w:bookmarkEnd w:id="39"/>
      <w:r>
        <w:rPr>
          <w:rFonts w:hint="eastAsia" w:ascii="宋体" w:hAnsi="宋体" w:eastAsia="宋体" w:cs="宋体"/>
          <w:color w:val="000000"/>
          <w:kern w:val="0"/>
          <w:szCs w:val="21"/>
          <w:highlight w:val="none"/>
          <w:u w:color="000000"/>
          <w:lang w:bidi="ar"/>
        </w:rPr>
        <w:t>31.3.1遵循公平、公正、科学和择优的原则。</w:t>
      </w:r>
    </w:p>
    <w:p w14:paraId="0122A76A">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14:paraId="2690EFD2">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8FB297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14:paraId="069105F4">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14:paraId="0350E189">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14:paraId="0FD9B53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14:paraId="2214201A">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1CFC558">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14:paraId="2FDCC0ED">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0EED433B">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0" w:name="_Toc7247"/>
      <w:bookmarkEnd w:id="40"/>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1" w:name="_Toc217446068"/>
      <w:r>
        <w:rPr>
          <w:rFonts w:hint="eastAsia" w:ascii="宋体" w:hAnsi="宋体" w:eastAsia="宋体" w:cs="宋体"/>
          <w:b/>
          <w:color w:val="000000"/>
          <w:kern w:val="0"/>
          <w:szCs w:val="21"/>
          <w:highlight w:val="none"/>
          <w:u w:color="000000"/>
          <w:lang w:bidi="ar"/>
        </w:rPr>
        <w:t>履约保证金</w:t>
      </w:r>
      <w:bookmarkEnd w:id="41"/>
    </w:p>
    <w:p w14:paraId="1331EEB6">
      <w:pPr>
        <w:spacing w:line="420" w:lineRule="exact"/>
        <w:ind w:firstLine="420" w:firstLineChars="200"/>
        <w:jc w:val="left"/>
        <w:rPr>
          <w:rFonts w:ascii="宋体" w:hAnsi="Times New Roman" w:eastAsia="宋体" w:cs="Times New Roman"/>
          <w:szCs w:val="21"/>
          <w:highlight w:val="none"/>
        </w:rPr>
      </w:pPr>
      <w:bookmarkStart w:id="42" w:name="_Toc316_WPSOffice_Level3"/>
      <w:bookmarkEnd w:id="42"/>
      <w:bookmarkStart w:id="43"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3"/>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3B4E380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bookmarkStart w:id="44" w:name="_Toc11010"/>
      <w:bookmarkStart w:id="45" w:name="_Toc296602460"/>
      <w:bookmarkStart w:id="46" w:name="_Toc35425096"/>
      <w:bookmarkStart w:id="47" w:name="_Toc246996214"/>
      <w:bookmarkStart w:id="48" w:name="_Toc247085728"/>
      <w:bookmarkStart w:id="49" w:name="_Toc78803363"/>
      <w:bookmarkStart w:id="50" w:name="_Toc506107308"/>
      <w:bookmarkStart w:id="51" w:name="_Toc152042346"/>
      <w:bookmarkStart w:id="52" w:name="_Toc144974538"/>
      <w:bookmarkStart w:id="53" w:name="_Toc152045570"/>
      <w:bookmarkStart w:id="54" w:name="_Toc15058893"/>
      <w:bookmarkStart w:id="55" w:name="_Toc324404855"/>
      <w:bookmarkStart w:id="56" w:name="_Toc246996957"/>
      <w:bookmarkStart w:id="57" w:name="_Toc35424930"/>
      <w:bookmarkStart w:id="58" w:name="_Toc179632588"/>
      <w:r>
        <w:rPr>
          <w:rFonts w:hint="eastAsia" w:ascii="宋体" w:hAnsi="宋体" w:eastAsia="宋体" w:cs="宋体"/>
          <w:b/>
          <w:bCs w:val="0"/>
          <w:color w:val="000000"/>
          <w:kern w:val="0"/>
          <w:sz w:val="21"/>
          <w:szCs w:val="21"/>
          <w:highlight w:val="none"/>
          <w:u w:color="000000"/>
          <w:lang w:val="en-US" w:eastAsia="zh-CN" w:bidi="ar"/>
        </w:rPr>
        <w:t>38.签订合同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2DE0C5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59" w:name="_Toc324404856"/>
      <w:bookmarkStart w:id="60" w:name="_Toc15058894"/>
      <w:bookmarkStart w:id="61" w:name="_Toc506107309"/>
      <w:r>
        <w:rPr>
          <w:rFonts w:hint="eastAsia" w:ascii="宋体" w:hAnsi="Times New Roman" w:eastAsia="宋体" w:cs="Times New Roman"/>
          <w:color w:val="auto"/>
          <w:spacing w:val="0"/>
          <w:sz w:val="21"/>
          <w:szCs w:val="21"/>
          <w:highlight w:val="none"/>
          <w:lang w:val="en-US" w:eastAsia="zh-CN"/>
        </w:rPr>
        <w:t xml:space="preserve">38.1本招标项目合同将授予按本须知第35条规定所确定的中标人。 </w:t>
      </w:r>
    </w:p>
    <w:p w14:paraId="18516895">
      <w:pPr>
        <w:wordWrap w:val="0"/>
        <w:spacing w:line="440" w:lineRule="exact"/>
        <w:ind w:firstLine="420" w:firstLineChars="200"/>
        <w:jc w:val="left"/>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w:t>
      </w:r>
      <w:r>
        <w:rPr>
          <w:rFonts w:hint="eastAsia" w:ascii="宋体" w:hAnsi="宋体" w:eastAsia="宋体" w:cs="宋体"/>
          <w:bCs/>
          <w:szCs w:val="21"/>
          <w:highlight w:val="none"/>
        </w:rPr>
        <w:t>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给招标人造成的损失的，中标人还应当对予以赔偿。</w:t>
      </w:r>
    </w:p>
    <w:p w14:paraId="4FC6BDF0">
      <w:pPr>
        <w:wordWrap w:val="0"/>
        <w:spacing w:line="440" w:lineRule="exact"/>
        <w:ind w:firstLine="420" w:firstLineChars="200"/>
        <w:jc w:val="left"/>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38.3</w:t>
      </w:r>
      <w:r>
        <w:rPr>
          <w:rFonts w:hint="eastAsia" w:ascii="宋体" w:hAnsi="宋体" w:eastAsia="宋体" w:cs="宋体"/>
          <w:bCs/>
          <w:szCs w:val="21"/>
          <w:highlight w:val="none"/>
        </w:rPr>
        <w:t>发出中标通知书后，招标单位无正当理由拒签合同的，给中标人造成损失的，还应当赔偿损失。</w:t>
      </w:r>
    </w:p>
    <w:p w14:paraId="499AD8E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szCs w:val="21"/>
          <w:highlight w:val="none"/>
        </w:rPr>
      </w:pPr>
      <w:r>
        <w:rPr>
          <w:rFonts w:hint="eastAsia" w:ascii="宋体" w:hAnsi="Times New Roman" w:eastAsia="宋体" w:cs="Times New Roman"/>
          <w:color w:val="auto"/>
          <w:spacing w:val="0"/>
          <w:sz w:val="21"/>
          <w:szCs w:val="21"/>
          <w:highlight w:val="none"/>
          <w:lang w:val="en-US" w:eastAsia="zh-CN"/>
        </w:rPr>
        <w:t>38.4除法定情形外，合同履行期间项目负责人不得更换。项目负责人确需变更的，应根据招标文件要求，变更后的项目负责人不低于投标文件中拟派项目负责人的资格条件。</w:t>
      </w:r>
      <w:bookmarkEnd w:id="59"/>
      <w:bookmarkEnd w:id="60"/>
      <w:bookmarkEnd w:id="61"/>
    </w:p>
    <w:p w14:paraId="1A2F0F6A">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14:paraId="72C69C0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14:paraId="52ACC92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14:paraId="67C0C99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14:paraId="236163A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4E248DA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14:paraId="0C5EC69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709D2CB">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14:paraId="10D126F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FC058C5">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14:paraId="0D0261A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14:paraId="59AD1FB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43.1投标人或者其他利害关系人认为招标投标活动违反法律、法规和规章规定的，有权向相关行政监督部门投诉。投诉应当有明确的请求和必要的证明材料。 </w:t>
      </w:r>
    </w:p>
    <w:p w14:paraId="359EF1AC">
      <w:pPr>
        <w:spacing w:line="420" w:lineRule="exact"/>
        <w:ind w:firstLine="420" w:firstLineChars="200"/>
        <w:jc w:val="left"/>
        <w:rPr>
          <w:rFonts w:ascii="宋体" w:hAnsi="Times New Roman" w:eastAsia="宋体" w:cs="Times New Roman"/>
          <w:szCs w:val="21"/>
          <w:highlight w:val="none"/>
        </w:rPr>
      </w:pPr>
    </w:p>
    <w:p w14:paraId="27E6A48B">
      <w:pPr>
        <w:autoSpaceDE w:val="0"/>
        <w:spacing w:line="400" w:lineRule="exact"/>
        <w:ind w:firstLine="450" w:firstLineChars="150"/>
        <w:jc w:val="left"/>
        <w:rPr>
          <w:rFonts w:ascii="黑体" w:hAnsi="宋体" w:eastAsia="黑体" w:cs="黑体"/>
          <w:sz w:val="30"/>
          <w:szCs w:val="30"/>
          <w:highlight w:val="none"/>
        </w:rPr>
      </w:pPr>
      <w:r>
        <w:rPr>
          <w:rFonts w:hint="eastAsia" w:ascii="黑体" w:hAnsi="宋体" w:eastAsia="黑体" w:cs="黑体"/>
          <w:color w:val="000000"/>
          <w:kern w:val="0"/>
          <w:sz w:val="30"/>
          <w:szCs w:val="30"/>
          <w:highlight w:val="none"/>
          <w:u w:color="000000"/>
          <w:lang w:bidi="ar"/>
        </w:rPr>
        <w:t xml:space="preserve"> </w:t>
      </w:r>
    </w:p>
    <w:p w14:paraId="38369EF2">
      <w:pPr>
        <w:rPr>
          <w:rFonts w:ascii="宋体"/>
          <w:b/>
          <w:sz w:val="32"/>
          <w:szCs w:val="32"/>
          <w:highlight w:val="none"/>
        </w:rPr>
      </w:pPr>
      <w:r>
        <w:rPr>
          <w:rFonts w:hint="eastAsia" w:ascii="宋体"/>
          <w:b/>
          <w:sz w:val="32"/>
          <w:szCs w:val="32"/>
          <w:highlight w:val="none"/>
        </w:rPr>
        <w:br w:type="page"/>
      </w:r>
    </w:p>
    <w:p w14:paraId="14CC2CDE">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1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14:paraId="4FE89A7E">
            <w:pPr>
              <w:spacing w:line="320" w:lineRule="exact"/>
              <w:rPr>
                <w:rFonts w:ascii="宋体"/>
                <w:color w:val="000000"/>
                <w:szCs w:val="21"/>
                <w:highlight w:val="none"/>
              </w:rPr>
            </w:pPr>
            <w:r>
              <w:rPr>
                <w:rFonts w:hint="eastAsia" w:ascii="宋体" w:eastAsia="宋体"/>
                <w:color w:val="auto"/>
                <w:szCs w:val="21"/>
                <w:highlight w:val="none"/>
                <w:lang w:val="en-US" w:eastAsia="zh-CN"/>
              </w:rPr>
              <w:t>企业法人营业执照</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5990D8D8">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tcPr>
          <w:p w14:paraId="78A19AC6">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14:paraId="1B6F7B2F">
            <w:pPr>
              <w:spacing w:line="360" w:lineRule="exac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adjustRightInd w:val="0"/>
        <w:snapToGrid w:val="0"/>
        <w:spacing w:line="560" w:lineRule="exact"/>
        <w:jc w:val="left"/>
        <w:rPr>
          <w:rFonts w:ascii="Times New Roman" w:hAnsi="Times New Roman" w:eastAsia="宋体" w:cs="Times New Roman"/>
          <w:color w:val="000000"/>
          <w:highlight w:val="none"/>
        </w:rPr>
      </w:pPr>
      <w:bookmarkStart w:id="62" w:name="_Toc60061492"/>
      <w:bookmarkStart w:id="63" w:name="_Toc15058909"/>
      <w:bookmarkStart w:id="64" w:name="_Toc95223395"/>
      <w:bookmarkStart w:id="65" w:name="_Toc506107320"/>
      <w:r>
        <w:rPr>
          <w:rFonts w:hint="eastAsia" w:ascii="Times New Roman" w:hAnsi="Times New Roman" w:eastAsia="宋体" w:cs="Times New Roman"/>
          <w:color w:val="000000"/>
          <w:highlight w:val="none"/>
        </w:rPr>
        <w:t>2.审查办法</w:t>
      </w:r>
      <w:bookmarkEnd w:id="62"/>
      <w:bookmarkEnd w:id="63"/>
      <w:bookmarkEnd w:id="64"/>
      <w:bookmarkEnd w:id="65"/>
    </w:p>
    <w:p w14:paraId="43494882">
      <w:pPr>
        <w:adjustRightInd w:val="0"/>
        <w:snapToGrid w:val="0"/>
        <w:spacing w:line="560" w:lineRule="exact"/>
        <w:jc w:val="left"/>
        <w:rPr>
          <w:rFonts w:ascii="Times New Roman" w:hAnsi="Times New Roman" w:eastAsia="宋体" w:cs="Times New Roman"/>
          <w:color w:val="000000"/>
          <w:highlight w:val="none"/>
        </w:rPr>
      </w:pPr>
      <w:bookmarkStart w:id="66" w:name="_Toc324404868"/>
      <w:bookmarkStart w:id="67" w:name="_Toc15058910"/>
      <w:bookmarkStart w:id="68" w:name="_Toc60061493"/>
      <w:bookmarkStart w:id="69"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adjustRightInd w:val="0"/>
        <w:snapToGrid w:val="0"/>
        <w:spacing w:line="560" w:lineRule="exact"/>
        <w:jc w:val="left"/>
        <w:rPr>
          <w:rFonts w:ascii="Times New Roman" w:hAnsi="Times New Roman" w:eastAsia="宋体" w:cs="Times New Roman"/>
          <w:color w:val="000000"/>
          <w:highlight w:val="none"/>
        </w:rPr>
      </w:pPr>
      <w:bookmarkStart w:id="70" w:name="_Toc95223396"/>
      <w:r>
        <w:rPr>
          <w:rFonts w:hint="eastAsia" w:ascii="Times New Roman" w:hAnsi="Times New Roman" w:eastAsia="宋体" w:cs="Times New Roman"/>
          <w:color w:val="000000"/>
          <w:highlight w:val="none"/>
        </w:rPr>
        <w:t>3.资格审查委员会和审查标准</w:t>
      </w:r>
      <w:bookmarkEnd w:id="66"/>
      <w:bookmarkEnd w:id="67"/>
      <w:bookmarkEnd w:id="68"/>
      <w:bookmarkEnd w:id="69"/>
      <w:bookmarkEnd w:id="70"/>
    </w:p>
    <w:p w14:paraId="3CCF7432">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adjustRightInd w:val="0"/>
        <w:snapToGrid w:val="0"/>
        <w:spacing w:line="560" w:lineRule="exact"/>
        <w:jc w:val="left"/>
        <w:rPr>
          <w:rFonts w:ascii="Times New Roman" w:hAnsi="Times New Roman" w:eastAsia="宋体" w:cs="Times New Roman"/>
          <w:color w:val="000000"/>
          <w:highlight w:val="none"/>
        </w:rPr>
      </w:pPr>
      <w:bookmarkStart w:id="71" w:name="_Toc506107322"/>
      <w:bookmarkStart w:id="72" w:name="_Toc324404869"/>
      <w:bookmarkStart w:id="73" w:name="_Toc95223397"/>
      <w:bookmarkStart w:id="74" w:name="_Toc15058911"/>
      <w:bookmarkStart w:id="75" w:name="_Toc60061494"/>
      <w:r>
        <w:rPr>
          <w:rFonts w:hint="eastAsia" w:ascii="Times New Roman" w:hAnsi="Times New Roman" w:eastAsia="宋体" w:cs="Times New Roman"/>
          <w:color w:val="000000"/>
          <w:highlight w:val="none"/>
        </w:rPr>
        <w:t>4.审查结果</w:t>
      </w:r>
      <w:bookmarkEnd w:id="71"/>
      <w:bookmarkEnd w:id="72"/>
      <w:bookmarkEnd w:id="73"/>
      <w:bookmarkEnd w:id="74"/>
      <w:bookmarkEnd w:id="75"/>
    </w:p>
    <w:p w14:paraId="499FC75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19B76C5">
      <w:pPr>
        <w:numPr>
          <w:ilvl w:val="0"/>
          <w:numId w:val="2"/>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14:paraId="3CDC49C5">
      <w:pPr>
        <w:adjustRightInd w:val="0"/>
        <w:snapToGrid w:val="0"/>
        <w:spacing w:line="420" w:lineRule="exact"/>
        <w:ind w:firstLine="315" w:firstLineChars="150"/>
        <w:rPr>
          <w:rFonts w:ascii="宋体" w:hAnsi="宋体" w:cs="宋体"/>
          <w:b/>
          <w:bCs/>
          <w:color w:val="000000"/>
          <w:szCs w:val="21"/>
          <w:highlight w:val="none"/>
        </w:rPr>
      </w:pPr>
      <w:bookmarkStart w:id="76" w:name="_Toc14651"/>
      <w:bookmarkEnd w:id="76"/>
      <w:bookmarkStart w:id="77" w:name="_Toc10907_WPSOffice_Level3"/>
      <w:r>
        <w:rPr>
          <w:rFonts w:hint="eastAsia" w:ascii="宋体" w:hAnsi="宋体" w:cs="宋体"/>
          <w:b/>
          <w:bCs/>
          <w:color w:val="000000"/>
          <w:szCs w:val="21"/>
          <w:highlight w:val="none"/>
        </w:rPr>
        <w:t>1.中标候选人的确定</w:t>
      </w:r>
    </w:p>
    <w:p w14:paraId="1F0F189A">
      <w:pPr>
        <w:adjustRightInd w:val="0"/>
        <w:snapToGrid w:val="0"/>
        <w:spacing w:line="420" w:lineRule="exact"/>
        <w:ind w:firstLine="315" w:firstLineChars="150"/>
        <w:rPr>
          <w:rFonts w:hint="eastAsia" w:ascii="宋体" w:hAnsi="宋体" w:eastAsia="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评标委员会主任委员或招标人随机抽取确定排名。</w:t>
      </w:r>
    </w:p>
    <w:p w14:paraId="30B89D62">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2.资信标评审（</w:t>
      </w:r>
      <w:r>
        <w:rPr>
          <w:rFonts w:hint="eastAsia" w:ascii="宋体" w:hAnsi="宋体" w:cs="宋体"/>
          <w:b/>
          <w:bCs/>
          <w:color w:val="000000"/>
          <w:szCs w:val="21"/>
          <w:highlight w:val="none"/>
          <w:lang w:val="en-US" w:eastAsia="zh-CN"/>
        </w:rPr>
        <w:t>2</w:t>
      </w:r>
      <w:r>
        <w:rPr>
          <w:rFonts w:hint="eastAsia" w:ascii="宋体" w:hAnsi="宋体" w:cs="宋体"/>
          <w:b/>
          <w:bCs/>
          <w:color w:val="000000"/>
          <w:szCs w:val="21"/>
          <w:highlight w:val="none"/>
        </w:rPr>
        <w:t>0分）</w:t>
      </w:r>
    </w:p>
    <w:tbl>
      <w:tblPr>
        <w:tblStyle w:val="19"/>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39"/>
        <w:gridCol w:w="5615"/>
        <w:gridCol w:w="1607"/>
      </w:tblGrid>
      <w:tr w14:paraId="616C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14:paraId="61835E08">
            <w:pPr>
              <w:spacing w:line="300" w:lineRule="exact"/>
              <w:jc w:val="center"/>
              <w:rPr>
                <w:rFonts w:ascii="宋体" w:hAnsi="宋体" w:cs="宋体"/>
                <w:b/>
                <w:bCs/>
                <w:szCs w:val="21"/>
                <w:highlight w:val="none"/>
              </w:rPr>
            </w:pPr>
            <w:r>
              <w:rPr>
                <w:rFonts w:hint="eastAsia" w:ascii="宋体" w:hAnsi="宋体" w:cs="宋体"/>
                <w:b/>
                <w:bCs/>
                <w:szCs w:val="21"/>
                <w:highlight w:val="none"/>
              </w:rPr>
              <w:t>序号</w:t>
            </w:r>
          </w:p>
        </w:tc>
        <w:tc>
          <w:tcPr>
            <w:tcW w:w="1315" w:type="dxa"/>
            <w:vAlign w:val="center"/>
          </w:tcPr>
          <w:p w14:paraId="3EBFE96F">
            <w:pPr>
              <w:spacing w:line="300" w:lineRule="exact"/>
              <w:jc w:val="center"/>
              <w:rPr>
                <w:rFonts w:ascii="宋体" w:hAnsi="宋体" w:cs="宋体"/>
                <w:b/>
                <w:bCs/>
                <w:szCs w:val="21"/>
                <w:highlight w:val="none"/>
              </w:rPr>
            </w:pPr>
            <w:r>
              <w:rPr>
                <w:rFonts w:hint="eastAsia" w:ascii="宋体" w:hAnsi="宋体" w:cs="宋体"/>
                <w:b/>
                <w:bCs/>
                <w:szCs w:val="21"/>
                <w:highlight w:val="none"/>
              </w:rPr>
              <w:t>评分因素</w:t>
            </w:r>
          </w:p>
        </w:tc>
        <w:tc>
          <w:tcPr>
            <w:tcW w:w="739" w:type="dxa"/>
            <w:vAlign w:val="center"/>
          </w:tcPr>
          <w:p w14:paraId="372F4E85">
            <w:pPr>
              <w:spacing w:line="300" w:lineRule="exact"/>
              <w:jc w:val="center"/>
              <w:rPr>
                <w:rFonts w:ascii="宋体" w:hAnsi="宋体" w:cs="宋体"/>
                <w:b/>
                <w:bCs/>
                <w:szCs w:val="21"/>
                <w:highlight w:val="none"/>
              </w:rPr>
            </w:pPr>
            <w:r>
              <w:rPr>
                <w:rFonts w:hint="eastAsia" w:ascii="宋体" w:hAnsi="宋体" w:cs="宋体"/>
                <w:b/>
                <w:bCs/>
                <w:szCs w:val="21"/>
                <w:highlight w:val="none"/>
              </w:rPr>
              <w:t>分值</w:t>
            </w:r>
          </w:p>
        </w:tc>
        <w:tc>
          <w:tcPr>
            <w:tcW w:w="5615" w:type="dxa"/>
            <w:vAlign w:val="center"/>
          </w:tcPr>
          <w:p w14:paraId="043AC59B">
            <w:pPr>
              <w:spacing w:line="300" w:lineRule="exact"/>
              <w:jc w:val="center"/>
              <w:rPr>
                <w:rFonts w:ascii="宋体" w:hAnsi="宋体" w:cs="宋体"/>
                <w:b/>
                <w:bCs/>
                <w:szCs w:val="21"/>
                <w:highlight w:val="none"/>
              </w:rPr>
            </w:pPr>
            <w:r>
              <w:rPr>
                <w:rFonts w:hint="eastAsia" w:ascii="宋体" w:hAnsi="宋体" w:cs="宋体"/>
                <w:b/>
                <w:bCs/>
                <w:szCs w:val="21"/>
                <w:highlight w:val="none"/>
              </w:rPr>
              <w:t>评审细则</w:t>
            </w:r>
          </w:p>
        </w:tc>
        <w:tc>
          <w:tcPr>
            <w:tcW w:w="1607" w:type="dxa"/>
            <w:vAlign w:val="center"/>
          </w:tcPr>
          <w:p w14:paraId="6F9B493C">
            <w:pPr>
              <w:spacing w:line="300" w:lineRule="exact"/>
              <w:jc w:val="center"/>
              <w:rPr>
                <w:rFonts w:ascii="宋体" w:hAnsi="宋体" w:cs="宋体"/>
                <w:b/>
                <w:bCs/>
                <w:szCs w:val="21"/>
                <w:highlight w:val="none"/>
              </w:rPr>
            </w:pPr>
            <w:r>
              <w:rPr>
                <w:rFonts w:hint="eastAsia" w:ascii="宋体" w:hAnsi="宋体"/>
                <w:b/>
                <w:bCs/>
                <w:szCs w:val="21"/>
                <w:highlight w:val="none"/>
              </w:rPr>
              <w:t>须提供的证明材料</w:t>
            </w:r>
          </w:p>
        </w:tc>
      </w:tr>
      <w:tr w14:paraId="060E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0" w:hRule="atLeast"/>
          <w:jc w:val="center"/>
        </w:trPr>
        <w:tc>
          <w:tcPr>
            <w:tcW w:w="699" w:type="dxa"/>
            <w:vAlign w:val="center"/>
          </w:tcPr>
          <w:p w14:paraId="2C414D5E">
            <w:pPr>
              <w:spacing w:line="300" w:lineRule="exact"/>
              <w:ind w:firstLine="28"/>
              <w:jc w:val="center"/>
              <w:rPr>
                <w:rFonts w:ascii="宋体" w:hAnsi="宋体"/>
                <w:szCs w:val="21"/>
                <w:highlight w:val="none"/>
              </w:rPr>
            </w:pPr>
            <w:r>
              <w:rPr>
                <w:rFonts w:hint="eastAsia" w:ascii="宋体" w:hAnsi="宋体"/>
                <w:szCs w:val="21"/>
                <w:highlight w:val="none"/>
              </w:rPr>
              <w:t>1</w:t>
            </w:r>
          </w:p>
        </w:tc>
        <w:tc>
          <w:tcPr>
            <w:tcW w:w="1315" w:type="dxa"/>
            <w:vAlign w:val="center"/>
          </w:tcPr>
          <w:p w14:paraId="6B653D9B">
            <w:pPr>
              <w:spacing w:line="300" w:lineRule="exact"/>
              <w:jc w:val="center"/>
              <w:rPr>
                <w:rFonts w:ascii="宋体" w:hAnsi="宋体" w:cs="宋体"/>
                <w:szCs w:val="21"/>
                <w:highlight w:val="none"/>
              </w:rPr>
            </w:pPr>
            <w:r>
              <w:rPr>
                <w:rFonts w:hint="eastAsia" w:ascii="宋体" w:hAnsi="宋体" w:cs="宋体"/>
                <w:szCs w:val="21"/>
                <w:highlight w:val="none"/>
              </w:rPr>
              <w:t>投标人业绩</w:t>
            </w:r>
          </w:p>
        </w:tc>
        <w:tc>
          <w:tcPr>
            <w:tcW w:w="739" w:type="dxa"/>
            <w:vAlign w:val="center"/>
          </w:tcPr>
          <w:p w14:paraId="30BF6EB3">
            <w:pPr>
              <w:spacing w:line="300" w:lineRule="exact"/>
              <w:jc w:val="center"/>
              <w:rPr>
                <w:rFonts w:ascii="宋体" w:hAnsi="宋体" w:cs="宋体"/>
                <w:szCs w:val="21"/>
                <w:highlight w:val="none"/>
              </w:rPr>
            </w:pPr>
            <w:r>
              <w:rPr>
                <w:rFonts w:hint="eastAsia" w:ascii="宋体" w:hAnsi="宋体" w:cs="宋体"/>
                <w:sz w:val="21"/>
                <w:szCs w:val="21"/>
                <w:highlight w:val="none"/>
                <w:lang w:val="en-US" w:eastAsia="zh-CN"/>
              </w:rPr>
              <w:t>6</w:t>
            </w:r>
            <w:r>
              <w:rPr>
                <w:rFonts w:hint="eastAsia" w:ascii="宋体" w:hAnsi="宋体" w:cs="宋体"/>
                <w:sz w:val="21"/>
                <w:szCs w:val="21"/>
                <w:highlight w:val="none"/>
              </w:rPr>
              <w:t>分</w:t>
            </w:r>
          </w:p>
        </w:tc>
        <w:tc>
          <w:tcPr>
            <w:tcW w:w="5615" w:type="dxa"/>
            <w:vAlign w:val="center"/>
          </w:tcPr>
          <w:p w14:paraId="4EDA160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sz w:val="21"/>
                <w:szCs w:val="21"/>
                <w:highlight w:val="none"/>
                <w:lang w:val="en-US" w:eastAsia="zh-CN"/>
              </w:rPr>
              <w:t>2023</w:t>
            </w:r>
            <w:r>
              <w:rPr>
                <w:rFonts w:hint="eastAsia" w:ascii="宋体" w:hAnsi="宋体" w:eastAsia="宋体" w:cs="宋体"/>
                <w:sz w:val="21"/>
                <w:szCs w:val="21"/>
                <w:highlight w:val="none"/>
              </w:rPr>
              <w:t>年1月1</w:t>
            </w:r>
            <w:r>
              <w:rPr>
                <w:rFonts w:hint="eastAsia" w:ascii="宋体" w:hAnsi="宋体" w:eastAsia="宋体" w:cs="宋体"/>
                <w:sz w:val="21"/>
                <w:szCs w:val="21"/>
                <w:highlight w:val="none"/>
                <w:lang w:val="en-US" w:eastAsia="zh-CN"/>
              </w:rPr>
              <w:t>日至投标截止时间</w:t>
            </w:r>
            <w:r>
              <w:rPr>
                <w:rFonts w:hint="eastAsia" w:ascii="宋体" w:hAnsi="宋体" w:eastAsia="宋体" w:cs="宋体"/>
                <w:sz w:val="21"/>
                <w:szCs w:val="21"/>
                <w:highlight w:val="none"/>
              </w:rPr>
              <w:t>（以合同签订时间为准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投标人</w:t>
            </w:r>
            <w:r>
              <w:rPr>
                <w:rFonts w:hint="eastAsia" w:ascii="宋体" w:hAnsi="宋体" w:eastAsia="宋体" w:cs="宋体"/>
                <w:sz w:val="21"/>
                <w:szCs w:val="21"/>
                <w:highlight w:val="none"/>
                <w:lang w:val="en-US" w:eastAsia="zh-CN"/>
              </w:rPr>
              <w:t>每</w:t>
            </w:r>
            <w:r>
              <w:rPr>
                <w:rFonts w:hint="eastAsia" w:ascii="宋体" w:hAnsi="宋体" w:eastAsia="宋体" w:cs="宋体"/>
                <w:sz w:val="21"/>
                <w:szCs w:val="21"/>
                <w:highlight w:val="none"/>
              </w:rPr>
              <w:t>提供</w:t>
            </w:r>
            <w:r>
              <w:rPr>
                <w:rFonts w:hint="eastAsia" w:ascii="宋体" w:hAnsi="宋体" w:eastAsia="宋体" w:cs="宋体"/>
                <w:sz w:val="21"/>
                <w:szCs w:val="21"/>
                <w:highlight w:val="none"/>
                <w:lang w:val="en-US" w:eastAsia="zh-CN"/>
              </w:rPr>
              <w:t>一项</w:t>
            </w:r>
            <w:r>
              <w:rPr>
                <w:rFonts w:hint="eastAsia" w:ascii="宋体" w:hAnsi="宋体" w:eastAsia="宋体" w:cs="宋体"/>
                <w:sz w:val="21"/>
                <w:szCs w:val="21"/>
                <w:highlight w:val="none"/>
                <w:lang w:val="en-GB" w:eastAsia="zh-CN"/>
              </w:rPr>
              <w:t>导向标识及VI制作安装</w:t>
            </w:r>
            <w:r>
              <w:rPr>
                <w:rFonts w:hint="eastAsia" w:ascii="宋体" w:hAnsi="宋体" w:eastAsia="宋体" w:cs="宋体"/>
                <w:sz w:val="21"/>
                <w:szCs w:val="21"/>
                <w:highlight w:val="none"/>
              </w:rPr>
              <w:t>业绩的得</w:t>
            </w:r>
            <w:r>
              <w:rPr>
                <w:rFonts w:hint="eastAsia" w:ascii="宋体" w:hAnsi="宋体" w:eastAsia="宋体" w:cs="宋体"/>
                <w:sz w:val="21"/>
                <w:szCs w:val="21"/>
                <w:highlight w:val="none"/>
                <w:lang w:val="en-US" w:eastAsia="zh-CN"/>
              </w:rPr>
              <w:t>3分，</w:t>
            </w:r>
            <w:r>
              <w:rPr>
                <w:rFonts w:hint="eastAsia" w:ascii="宋体" w:hAnsi="宋体" w:eastAsia="宋体" w:cs="宋体"/>
                <w:color w:val="auto"/>
                <w:kern w:val="1"/>
                <w:sz w:val="21"/>
                <w:szCs w:val="21"/>
                <w:highlight w:val="none"/>
                <w:lang w:val="en-US" w:eastAsia="zh-CN"/>
              </w:rPr>
              <w:t>其他的不得分，</w:t>
            </w:r>
            <w:r>
              <w:rPr>
                <w:rFonts w:hint="eastAsia" w:ascii="宋体" w:hAnsi="宋体" w:eastAsia="宋体" w:cs="宋体"/>
                <w:sz w:val="21"/>
                <w:szCs w:val="21"/>
                <w:highlight w:val="none"/>
                <w:lang w:val="en-US" w:eastAsia="zh-CN"/>
              </w:rPr>
              <w:t>本项满分6分。</w:t>
            </w:r>
          </w:p>
          <w:p w14:paraId="73008CD6">
            <w:pPr>
              <w:keepNext w:val="0"/>
              <w:keepLines w:val="0"/>
              <w:pageBreakBefore w:val="0"/>
              <w:widowControl w:val="0"/>
              <w:kinsoku/>
              <w:wordWrap/>
              <w:overflowPunct/>
              <w:topLinePunct w:val="0"/>
              <w:autoSpaceDE/>
              <w:autoSpaceDN/>
              <w:bidi w:val="0"/>
              <w:adjustRightInd/>
              <w:snapToGrid/>
              <w:spacing w:line="240" w:lineRule="auto"/>
              <w:textAlignment w:val="auto"/>
              <w:rPr>
                <w:highlight w:val="none"/>
              </w:rPr>
            </w:pPr>
            <w:r>
              <w:rPr>
                <w:rFonts w:hint="eastAsia" w:ascii="宋体" w:hAnsi="宋体" w:eastAsia="宋体" w:cs="宋体"/>
                <w:sz w:val="21"/>
                <w:szCs w:val="21"/>
                <w:highlight w:val="none"/>
                <w:lang w:val="en-US" w:eastAsia="zh-CN"/>
              </w:rPr>
              <w:t>注</w:t>
            </w:r>
            <w:r>
              <w:rPr>
                <w:rFonts w:hint="eastAsia" w:ascii="宋体" w:hAnsi="宋体" w:eastAsia="宋体" w:cs="宋体"/>
                <w:sz w:val="21"/>
                <w:szCs w:val="21"/>
                <w:highlight w:val="none"/>
                <w:lang w:val="zh-CN" w:eastAsia="zh-CN"/>
              </w:rPr>
              <w:t>：</w:t>
            </w:r>
            <w:r>
              <w:rPr>
                <w:rFonts w:hint="eastAsia" w:ascii="宋体" w:hAnsi="宋体" w:eastAsia="宋体" w:cs="宋体"/>
                <w:sz w:val="21"/>
                <w:szCs w:val="21"/>
                <w:highlight w:val="none"/>
                <w:lang w:val="en-US" w:eastAsia="zh-CN"/>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w:t>
            </w:r>
          </w:p>
        </w:tc>
        <w:tc>
          <w:tcPr>
            <w:tcW w:w="1607" w:type="dxa"/>
            <w:vAlign w:val="center"/>
          </w:tcPr>
          <w:p w14:paraId="501A39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方正仿宋_GB2312"/>
                <w:szCs w:val="21"/>
                <w:highlight w:val="none"/>
              </w:rPr>
            </w:pPr>
            <w:r>
              <w:rPr>
                <w:rFonts w:hint="eastAsia" w:ascii="宋体" w:hAnsi="宋体" w:eastAsia="宋体" w:cs="宋体"/>
                <w:sz w:val="21"/>
                <w:szCs w:val="21"/>
                <w:highlight w:val="none"/>
              </w:rPr>
              <w:t>投标文件中须提供业绩合同扫描件，合同中必须体现出双方签章页、合同签订时间、合同</w:t>
            </w:r>
            <w:r>
              <w:rPr>
                <w:rFonts w:hint="eastAsia" w:ascii="宋体" w:hAnsi="宋体" w:eastAsia="宋体" w:cs="宋体"/>
                <w:sz w:val="21"/>
                <w:szCs w:val="21"/>
                <w:highlight w:val="none"/>
                <w:lang w:val="en-US" w:eastAsia="zh-CN"/>
              </w:rPr>
              <w:t>内容</w:t>
            </w:r>
            <w:r>
              <w:rPr>
                <w:rFonts w:hint="eastAsia" w:ascii="宋体" w:hAnsi="宋体" w:eastAsia="宋体" w:cs="宋体"/>
                <w:sz w:val="21"/>
                <w:szCs w:val="21"/>
                <w:highlight w:val="none"/>
              </w:rPr>
              <w:t>等评审因素等。</w:t>
            </w:r>
          </w:p>
        </w:tc>
      </w:tr>
      <w:tr w14:paraId="2B1D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67E7B0C9">
            <w:pPr>
              <w:spacing w:line="300" w:lineRule="exact"/>
              <w:ind w:firstLine="28"/>
              <w:jc w:val="center"/>
              <w:rPr>
                <w:rFonts w:ascii="宋体" w:hAnsi="宋体"/>
                <w:szCs w:val="21"/>
                <w:highlight w:val="none"/>
              </w:rPr>
            </w:pPr>
            <w:r>
              <w:rPr>
                <w:rFonts w:hint="eastAsia" w:ascii="宋体" w:hAnsi="宋体"/>
                <w:szCs w:val="21"/>
                <w:highlight w:val="none"/>
              </w:rPr>
              <w:t>2</w:t>
            </w:r>
          </w:p>
        </w:tc>
        <w:tc>
          <w:tcPr>
            <w:tcW w:w="1315" w:type="dxa"/>
            <w:vAlign w:val="center"/>
          </w:tcPr>
          <w:p w14:paraId="2C07CF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sz w:val="21"/>
                <w:szCs w:val="21"/>
                <w:highlight w:val="none"/>
              </w:rPr>
              <w:t>认证体系</w:t>
            </w:r>
          </w:p>
        </w:tc>
        <w:tc>
          <w:tcPr>
            <w:tcW w:w="739" w:type="dxa"/>
            <w:vAlign w:val="center"/>
          </w:tcPr>
          <w:p w14:paraId="05458F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ascii="宋体" w:hAnsi="宋体" w:cs="宋体"/>
                <w:sz w:val="21"/>
                <w:szCs w:val="21"/>
                <w:highlight w:val="none"/>
                <w:lang w:val="en-US" w:eastAsia="zh-CN"/>
              </w:rPr>
              <w:t>3分</w:t>
            </w:r>
          </w:p>
        </w:tc>
        <w:tc>
          <w:tcPr>
            <w:tcW w:w="5615" w:type="dxa"/>
            <w:vAlign w:val="center"/>
          </w:tcPr>
          <w:p w14:paraId="180E09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投标人具有经中国国家认证认可监督管理委员会认证机构颁发的有效的下列证书：</w:t>
            </w:r>
          </w:p>
          <w:p w14:paraId="15FF95D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Times New Roman" w:hAnsi="Times New Roman" w:eastAsia="宋体" w:cs="Times New Roman"/>
                <w:sz w:val="21"/>
                <w:szCs w:val="21"/>
                <w:highlight w:val="none"/>
                <w:lang w:val="en-US" w:eastAsia="zh-CN"/>
              </w:rPr>
              <w:t>（1）具有有效的质量管理</w:t>
            </w:r>
            <w:r>
              <w:rPr>
                <w:rFonts w:hint="eastAsia" w:ascii="宋体" w:hAnsi="宋体" w:eastAsia="宋体" w:cs="宋体"/>
                <w:sz w:val="21"/>
                <w:szCs w:val="21"/>
                <w:highlight w:val="none"/>
                <w:lang w:val="en-US" w:eastAsia="zh-CN"/>
              </w:rPr>
              <w:t>体系认证证书；</w:t>
            </w:r>
          </w:p>
          <w:p w14:paraId="322E695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r>
              <w:rPr>
                <w:rFonts w:hint="eastAsia" w:ascii="宋体" w:hAnsi="宋体" w:eastAsia="宋体" w:cs="宋体"/>
                <w:sz w:val="21"/>
                <w:szCs w:val="21"/>
                <w:highlight w:val="none"/>
                <w:lang w:val="en-US" w:eastAsia="zh-CN"/>
              </w:rPr>
              <w:t>具有有效的环境管理体系认证证书；</w:t>
            </w:r>
          </w:p>
          <w:p w14:paraId="40A558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highlight w:val="none"/>
                <w:lang w:val="en-US" w:eastAsia="zh-CN"/>
              </w:rPr>
            </w:pPr>
            <w:r>
              <w:rPr>
                <w:rFonts w:hint="eastAsia" w:ascii="Times New Roman" w:hAnsi="Times New Roman" w:eastAsia="宋体" w:cs="Times New Roman"/>
                <w:sz w:val="21"/>
                <w:szCs w:val="21"/>
                <w:highlight w:val="none"/>
                <w:lang w:val="en-US" w:eastAsia="zh-CN"/>
              </w:rPr>
              <w:t>（3）</w:t>
            </w:r>
            <w:r>
              <w:rPr>
                <w:rFonts w:hint="eastAsia" w:ascii="宋体" w:hAnsi="宋体" w:eastAsia="宋体" w:cs="宋体"/>
                <w:sz w:val="21"/>
                <w:szCs w:val="21"/>
                <w:highlight w:val="none"/>
                <w:lang w:val="en-US" w:eastAsia="zh-CN"/>
              </w:rPr>
              <w:t>具有有效的职业健康安全管理体系认证证书；</w:t>
            </w:r>
          </w:p>
          <w:p w14:paraId="7E60F380">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szCs w:val="21"/>
                <w:highlight w:val="none"/>
              </w:rPr>
            </w:pPr>
            <w:r>
              <w:rPr>
                <w:rFonts w:hint="eastAsia" w:ascii="宋体" w:hAnsi="宋体" w:eastAsia="宋体" w:cs="宋体"/>
                <w:sz w:val="21"/>
                <w:szCs w:val="21"/>
                <w:highlight w:val="none"/>
                <w:lang w:val="en-US" w:eastAsia="zh-CN"/>
              </w:rPr>
              <w:t>每提供1个得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分，其他的不得分，本</w:t>
            </w:r>
            <w:r>
              <w:rPr>
                <w:rFonts w:hint="eastAsia" w:ascii="宋体" w:hAnsi="宋体" w:cs="宋体"/>
                <w:sz w:val="21"/>
                <w:szCs w:val="21"/>
                <w:highlight w:val="none"/>
                <w:lang w:val="en-US" w:eastAsia="zh-CN"/>
              </w:rPr>
              <w:t>项</w:t>
            </w:r>
            <w:r>
              <w:rPr>
                <w:rFonts w:hint="eastAsia" w:ascii="宋体" w:hAnsi="宋体" w:eastAsia="宋体" w:cs="宋体"/>
                <w:sz w:val="21"/>
                <w:szCs w:val="21"/>
                <w:highlight w:val="none"/>
                <w:lang w:val="en-US" w:eastAsia="zh-CN"/>
              </w:rPr>
              <w:t>满分</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分。</w:t>
            </w:r>
          </w:p>
        </w:tc>
        <w:tc>
          <w:tcPr>
            <w:tcW w:w="1607" w:type="dxa"/>
            <w:vAlign w:val="center"/>
          </w:tcPr>
          <w:p w14:paraId="45FB90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szCs w:val="21"/>
                <w:highlight w:val="none"/>
              </w:rPr>
            </w:pPr>
            <w:r>
              <w:rPr>
                <w:rFonts w:hint="eastAsia" w:ascii="Times New Roman" w:hAnsi="Times New Roman" w:eastAsia="宋体" w:cs="Times New Roman"/>
                <w:sz w:val="21"/>
                <w:szCs w:val="21"/>
                <w:highlight w:val="none"/>
                <w:lang w:val="en-US" w:eastAsia="zh-CN"/>
              </w:rPr>
              <w:t>投标文件中提供有效的证书扫描件以及全国认证认可信息公共服务平台证书信息查询截图。</w:t>
            </w:r>
          </w:p>
        </w:tc>
      </w:tr>
      <w:tr w14:paraId="4983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Align w:val="center"/>
          </w:tcPr>
          <w:p w14:paraId="4F3FD190">
            <w:pPr>
              <w:keepNext w:val="0"/>
              <w:keepLines w:val="0"/>
              <w:pageBreakBefore w:val="0"/>
              <w:widowControl w:val="0"/>
              <w:kinsoku/>
              <w:wordWrap/>
              <w:overflowPunct/>
              <w:topLinePunct w:val="0"/>
              <w:autoSpaceDE/>
              <w:autoSpaceDN/>
              <w:bidi w:val="0"/>
              <w:adjustRightInd/>
              <w:snapToGrid/>
              <w:spacing w:line="240" w:lineRule="auto"/>
              <w:ind w:firstLine="28" w:firstLineChars="0"/>
              <w:jc w:val="center"/>
              <w:textAlignment w:val="auto"/>
              <w:rPr>
                <w:rFonts w:ascii="宋体" w:hAnsi="宋体"/>
                <w:szCs w:val="21"/>
                <w:highlight w:val="none"/>
              </w:rPr>
            </w:pPr>
            <w:r>
              <w:rPr>
                <w:rFonts w:hint="eastAsia" w:ascii="宋体" w:hAnsi="宋体" w:eastAsia="宋体" w:cs="宋体"/>
                <w:sz w:val="21"/>
                <w:szCs w:val="21"/>
                <w:highlight w:val="none"/>
                <w:lang w:val="en-US" w:eastAsia="zh-CN"/>
              </w:rPr>
              <w:t>3</w:t>
            </w:r>
          </w:p>
        </w:tc>
        <w:tc>
          <w:tcPr>
            <w:tcW w:w="1315" w:type="dxa"/>
            <w:vAlign w:val="center"/>
          </w:tcPr>
          <w:p w14:paraId="2BF52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zCs w:val="21"/>
                <w:highlight w:val="none"/>
              </w:rPr>
            </w:pPr>
            <w:r>
              <w:rPr>
                <w:rFonts w:hint="eastAsia" w:ascii="宋体" w:hAnsi="宋体" w:eastAsia="宋体" w:cs="宋体"/>
                <w:sz w:val="21"/>
                <w:szCs w:val="21"/>
                <w:highlight w:val="none"/>
              </w:rPr>
              <w:t>机器设备情况</w:t>
            </w:r>
          </w:p>
        </w:tc>
        <w:tc>
          <w:tcPr>
            <w:tcW w:w="739" w:type="dxa"/>
            <w:vAlign w:val="center"/>
          </w:tcPr>
          <w:p w14:paraId="35929F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ascii="宋体" w:hAnsi="宋体" w:cs="宋体"/>
                <w:sz w:val="21"/>
                <w:szCs w:val="21"/>
                <w:highlight w:val="none"/>
                <w:lang w:val="en-US" w:eastAsia="zh-CN"/>
              </w:rPr>
              <w:t>11</w:t>
            </w:r>
            <w:r>
              <w:rPr>
                <w:rFonts w:hint="eastAsia" w:ascii="宋体" w:hAnsi="宋体" w:eastAsia="宋体" w:cs="宋体"/>
                <w:sz w:val="21"/>
                <w:szCs w:val="21"/>
                <w:highlight w:val="none"/>
                <w:lang w:val="en-US" w:eastAsia="zh-CN"/>
              </w:rPr>
              <w:t>分</w:t>
            </w:r>
          </w:p>
        </w:tc>
        <w:tc>
          <w:tcPr>
            <w:tcW w:w="5615" w:type="dxa"/>
            <w:vAlign w:val="center"/>
          </w:tcPr>
          <w:p w14:paraId="0A4CEB63">
            <w:pPr>
              <w:numPr>
                <w:ilvl w:val="0"/>
                <w:numId w:val="3"/>
              </w:numPr>
              <w:spacing w:line="24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写真机得</w:t>
            </w:r>
            <w:r>
              <w:rPr>
                <w:rFonts w:hint="eastAsia" w:ascii="宋体" w:hAnsi="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31BBADCA">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雕刻机得</w:t>
            </w:r>
            <w:r>
              <w:rPr>
                <w:rFonts w:hint="eastAsia" w:ascii="宋体" w:hAnsi="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14FC8857">
            <w:pPr>
              <w:spacing w:line="240" w:lineRule="auto"/>
              <w:rPr>
                <w:rFonts w:hint="eastAsia" w:ascii="宋体" w:hAnsi="宋体" w:eastAsia="宋体" w:cs="宋体"/>
                <w:color w:val="000000"/>
                <w:sz w:val="21"/>
                <w:szCs w:val="21"/>
                <w:highlight w:val="none"/>
              </w:rPr>
            </w:pPr>
            <w:r>
              <w:rPr>
                <w:rFonts w:hint="eastAsia" w:ascii="宋体" w:hAnsi="宋体" w:eastAsia="宋体" w:cs="宋体"/>
                <w:sz w:val="21"/>
                <w:szCs w:val="21"/>
                <w:highlight w:val="none"/>
                <w:lang w:val="en-US" w:eastAsia="zh-CN"/>
              </w:rPr>
              <w:t>（3）投标人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辆</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运输车辆得</w:t>
            </w:r>
            <w:r>
              <w:rPr>
                <w:rFonts w:hint="eastAsia" w:ascii="宋体" w:hAnsi="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3CF40188">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丝网印刷设备得</w:t>
            </w:r>
            <w:r>
              <w:rPr>
                <w:rFonts w:hint="eastAsia" w:ascii="宋体" w:hAnsi="宋体" w:cs="宋体"/>
                <w:color w:val="000000"/>
                <w:sz w:val="21"/>
                <w:szCs w:val="21"/>
                <w:highlight w:val="none"/>
                <w:lang w:val="en-US" w:eastAsia="zh-CN"/>
              </w:rPr>
              <w:t>1.5</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p w14:paraId="2DE7A2C7">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切割设备得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其他的不得分，本条满分2分</w:t>
            </w:r>
            <w:r>
              <w:rPr>
                <w:rFonts w:hint="eastAsia" w:ascii="宋体" w:hAnsi="宋体" w:eastAsia="宋体" w:cs="宋体"/>
                <w:color w:val="000000"/>
                <w:sz w:val="21"/>
                <w:szCs w:val="21"/>
                <w:highlight w:val="none"/>
              </w:rPr>
              <w:t>。</w:t>
            </w:r>
          </w:p>
          <w:p w14:paraId="38F334A6">
            <w:pPr>
              <w:spacing w:line="240" w:lineRule="auto"/>
              <w:rPr>
                <w:rFonts w:ascii="宋体" w:hAnsi="宋体" w:cs="宋体"/>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6）</w:t>
            </w:r>
            <w:r>
              <w:rPr>
                <w:rFonts w:hint="eastAsia" w:ascii="宋体" w:hAnsi="宋体" w:eastAsia="宋体" w:cs="宋体"/>
                <w:sz w:val="21"/>
                <w:szCs w:val="21"/>
                <w:highlight w:val="none"/>
                <w:lang w:val="en-US" w:eastAsia="zh-CN"/>
              </w:rPr>
              <w:t>投标人</w:t>
            </w:r>
            <w:r>
              <w:rPr>
                <w:rFonts w:hint="eastAsia" w:ascii="宋体" w:hAnsi="宋体" w:eastAsia="宋体" w:cs="宋体"/>
                <w:color w:val="000000"/>
                <w:sz w:val="21"/>
                <w:szCs w:val="21"/>
                <w:highlight w:val="none"/>
                <w:lang w:val="en-US" w:eastAsia="zh-CN"/>
              </w:rPr>
              <w:t>每提供</w:t>
            </w:r>
            <w:r>
              <w:rPr>
                <w:rFonts w:hint="eastAsia" w:ascii="宋体" w:hAnsi="宋体" w:eastAsia="宋体" w:cs="宋体"/>
                <w:color w:val="000000"/>
                <w:sz w:val="21"/>
                <w:szCs w:val="21"/>
                <w:highlight w:val="none"/>
              </w:rPr>
              <w:t>1台</w:t>
            </w:r>
            <w:r>
              <w:rPr>
                <w:rFonts w:hint="eastAsia" w:ascii="宋体" w:hAnsi="宋体" w:eastAsia="宋体" w:cs="宋体"/>
                <w:sz w:val="21"/>
                <w:szCs w:val="21"/>
                <w:highlight w:val="none"/>
                <w:lang w:val="en-US" w:eastAsia="zh-CN"/>
              </w:rPr>
              <w:t>自有或租赁的</w:t>
            </w:r>
            <w:r>
              <w:rPr>
                <w:rFonts w:hint="eastAsia" w:ascii="宋体" w:hAnsi="宋体" w:eastAsia="宋体" w:cs="宋体"/>
                <w:color w:val="000000"/>
                <w:sz w:val="21"/>
                <w:szCs w:val="21"/>
                <w:highlight w:val="none"/>
              </w:rPr>
              <w:t>喷绘机得</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r>
              <w:rPr>
                <w:rFonts w:hint="eastAsia" w:ascii="宋体" w:hAnsi="宋体" w:eastAsia="宋体" w:cs="宋体"/>
                <w:sz w:val="21"/>
                <w:szCs w:val="21"/>
                <w:highlight w:val="none"/>
                <w:lang w:val="en-US" w:eastAsia="zh-CN"/>
              </w:rPr>
              <w:t>其他的不得分，本条满分</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分</w:t>
            </w:r>
            <w:r>
              <w:rPr>
                <w:rFonts w:hint="eastAsia" w:ascii="宋体" w:hAnsi="宋体" w:eastAsia="宋体" w:cs="宋体"/>
                <w:color w:val="000000"/>
                <w:sz w:val="21"/>
                <w:szCs w:val="21"/>
                <w:highlight w:val="none"/>
              </w:rPr>
              <w:t>。</w:t>
            </w:r>
          </w:p>
        </w:tc>
        <w:tc>
          <w:tcPr>
            <w:tcW w:w="1607" w:type="dxa"/>
            <w:vAlign w:val="center"/>
          </w:tcPr>
          <w:p w14:paraId="36C07C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szCs w:val="21"/>
                <w:highlight w:val="none"/>
              </w:rPr>
              <w:t>投标文件中须同时提供采购合同（或者同时提供租赁合同和所租设备购置发票）扫描件。</w:t>
            </w:r>
          </w:p>
        </w:tc>
      </w:tr>
    </w:tbl>
    <w:p w14:paraId="31824203">
      <w:pPr>
        <w:adjustRightInd w:val="0"/>
        <w:snapToGrid w:val="0"/>
        <w:spacing w:line="420" w:lineRule="exact"/>
        <w:ind w:firstLine="315" w:firstLineChars="150"/>
        <w:rPr>
          <w:rFonts w:hint="eastAsia" w:ascii="宋体" w:hAnsi="宋体" w:cs="宋体"/>
          <w:b/>
          <w:bCs/>
          <w:color w:val="000000"/>
          <w:szCs w:val="21"/>
          <w:highlight w:val="none"/>
        </w:rPr>
      </w:pPr>
      <w:r>
        <w:rPr>
          <w:rFonts w:hint="eastAsia" w:ascii="宋体" w:hAnsi="宋体" w:eastAsia="宋体" w:cs="Times New Roman"/>
          <w:b/>
          <w:szCs w:val="21"/>
          <w:highlight w:val="none"/>
        </w:rPr>
        <w:t>注：各评委得分的平均值为投标人资信标得分，分值保留两位小数点。</w:t>
      </w:r>
    </w:p>
    <w:p w14:paraId="015E1590">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3.技术标评审（</w:t>
      </w:r>
      <w:r>
        <w:rPr>
          <w:rFonts w:hint="eastAsia" w:ascii="宋体" w:hAnsi="宋体" w:cs="宋体"/>
          <w:b/>
          <w:bCs/>
          <w:color w:val="000000"/>
          <w:szCs w:val="21"/>
          <w:highlight w:val="none"/>
          <w:lang w:val="en-US" w:eastAsia="zh-CN"/>
        </w:rPr>
        <w:t>2</w:t>
      </w:r>
      <w:r>
        <w:rPr>
          <w:rFonts w:hint="eastAsia" w:ascii="宋体" w:hAnsi="宋体" w:cs="宋体"/>
          <w:b/>
          <w:bCs/>
          <w:color w:val="000000"/>
          <w:szCs w:val="21"/>
          <w:highlight w:val="none"/>
        </w:rPr>
        <w:t>0分）</w:t>
      </w:r>
    </w:p>
    <w:tbl>
      <w:tblPr>
        <w:tblStyle w:val="19"/>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0"/>
        <w:gridCol w:w="754"/>
        <w:gridCol w:w="5607"/>
        <w:gridCol w:w="1591"/>
      </w:tblGrid>
      <w:tr w14:paraId="6AFB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Align w:val="center"/>
          </w:tcPr>
          <w:p w14:paraId="51624EF7">
            <w:pPr>
              <w:adjustRightInd w:val="0"/>
              <w:snapToGrid w:val="0"/>
              <w:jc w:val="center"/>
              <w:rPr>
                <w:rFonts w:ascii="宋体" w:cs="宋体"/>
                <w:b/>
                <w:bCs/>
                <w:szCs w:val="21"/>
                <w:highlight w:val="none"/>
              </w:rPr>
            </w:pPr>
            <w:r>
              <w:rPr>
                <w:rFonts w:hint="eastAsia" w:ascii="宋体" w:hAnsi="宋体" w:cs="宋体"/>
                <w:b/>
                <w:bCs/>
                <w:szCs w:val="21"/>
                <w:highlight w:val="none"/>
              </w:rPr>
              <w:t>序号</w:t>
            </w:r>
          </w:p>
        </w:tc>
        <w:tc>
          <w:tcPr>
            <w:tcW w:w="1300" w:type="dxa"/>
            <w:vAlign w:val="center"/>
          </w:tcPr>
          <w:p w14:paraId="594984F5">
            <w:pPr>
              <w:adjustRightInd w:val="0"/>
              <w:snapToGrid w:val="0"/>
              <w:jc w:val="center"/>
              <w:rPr>
                <w:rFonts w:ascii="宋体" w:cs="宋体"/>
                <w:b/>
                <w:bCs/>
                <w:sz w:val="28"/>
                <w:highlight w:val="none"/>
              </w:rPr>
            </w:pPr>
            <w:r>
              <w:rPr>
                <w:rFonts w:hint="eastAsia" w:ascii="宋体" w:hAnsi="宋体" w:cs="宋体"/>
                <w:b/>
                <w:bCs/>
                <w:szCs w:val="21"/>
                <w:highlight w:val="none"/>
              </w:rPr>
              <w:t>评分因素</w:t>
            </w:r>
          </w:p>
        </w:tc>
        <w:tc>
          <w:tcPr>
            <w:tcW w:w="754" w:type="dxa"/>
            <w:vAlign w:val="center"/>
          </w:tcPr>
          <w:p w14:paraId="36023C3B">
            <w:pPr>
              <w:adjustRightInd w:val="0"/>
              <w:snapToGrid w:val="0"/>
              <w:jc w:val="center"/>
              <w:rPr>
                <w:rFonts w:ascii="宋体" w:hAnsi="宋体" w:cs="宋体"/>
                <w:b/>
                <w:bCs/>
                <w:szCs w:val="21"/>
                <w:highlight w:val="none"/>
              </w:rPr>
            </w:pPr>
            <w:r>
              <w:rPr>
                <w:rFonts w:hint="eastAsia" w:ascii="宋体" w:hAnsi="宋体" w:cs="宋体"/>
                <w:b/>
                <w:bCs/>
                <w:szCs w:val="21"/>
                <w:highlight w:val="none"/>
              </w:rPr>
              <w:t>分值</w:t>
            </w:r>
          </w:p>
        </w:tc>
        <w:tc>
          <w:tcPr>
            <w:tcW w:w="5607" w:type="dxa"/>
            <w:vAlign w:val="center"/>
          </w:tcPr>
          <w:p w14:paraId="1B694631">
            <w:pPr>
              <w:adjustRightInd w:val="0"/>
              <w:snapToGrid w:val="0"/>
              <w:jc w:val="center"/>
              <w:rPr>
                <w:rFonts w:ascii="宋体" w:cs="宋体"/>
                <w:b/>
                <w:bCs/>
                <w:sz w:val="28"/>
                <w:highlight w:val="none"/>
              </w:rPr>
            </w:pPr>
            <w:r>
              <w:rPr>
                <w:rFonts w:hint="eastAsia" w:ascii="宋体" w:cs="宋体"/>
                <w:b/>
                <w:bCs/>
                <w:szCs w:val="21"/>
                <w:highlight w:val="none"/>
              </w:rPr>
              <w:t>评审细则</w:t>
            </w:r>
          </w:p>
        </w:tc>
        <w:tc>
          <w:tcPr>
            <w:tcW w:w="1591" w:type="dxa"/>
            <w:vAlign w:val="center"/>
          </w:tcPr>
          <w:p w14:paraId="3219A49E">
            <w:pPr>
              <w:adjustRightInd w:val="0"/>
              <w:snapToGrid w:val="0"/>
              <w:jc w:val="center"/>
              <w:rPr>
                <w:rFonts w:ascii="宋体" w:cs="宋体"/>
                <w:b/>
                <w:bCs/>
                <w:szCs w:val="21"/>
                <w:highlight w:val="none"/>
              </w:rPr>
            </w:pPr>
            <w:r>
              <w:rPr>
                <w:rFonts w:hint="eastAsia" w:ascii="宋体" w:cs="宋体"/>
                <w:b/>
                <w:bCs/>
                <w:szCs w:val="21"/>
                <w:highlight w:val="none"/>
              </w:rPr>
              <w:t>须提供的证明材料</w:t>
            </w:r>
          </w:p>
        </w:tc>
      </w:tr>
      <w:tr w14:paraId="137D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04802ED7">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1</w:t>
            </w:r>
          </w:p>
        </w:tc>
        <w:tc>
          <w:tcPr>
            <w:tcW w:w="1300" w:type="dxa"/>
            <w:vAlign w:val="center"/>
          </w:tcPr>
          <w:p w14:paraId="6FAF7044">
            <w:pPr>
              <w:widowControl/>
              <w:spacing w:line="240" w:lineRule="auto"/>
              <w:jc w:val="center"/>
              <w:rPr>
                <w:rFonts w:cs="宋体"/>
                <w:bCs/>
                <w:szCs w:val="21"/>
                <w:highlight w:val="none"/>
              </w:rPr>
            </w:pPr>
            <w:r>
              <w:rPr>
                <w:rFonts w:hint="eastAsia" w:ascii="宋体" w:hAnsi="宋体" w:eastAsia="宋体" w:cs="宋体"/>
                <w:sz w:val="21"/>
                <w:szCs w:val="21"/>
                <w:highlight w:val="none"/>
                <w:lang w:val="en-US" w:eastAsia="zh-CN"/>
              </w:rPr>
              <w:t>服务方案</w:t>
            </w:r>
          </w:p>
        </w:tc>
        <w:tc>
          <w:tcPr>
            <w:tcW w:w="754" w:type="dxa"/>
            <w:vAlign w:val="center"/>
          </w:tcPr>
          <w:p w14:paraId="183C715A">
            <w:pPr>
              <w:keepNext w:val="0"/>
              <w:keepLines w:val="0"/>
              <w:pageBreakBefore w:val="0"/>
              <w:widowControl/>
              <w:kinsoku/>
              <w:wordWrap/>
              <w:overflowPunct/>
              <w:topLinePunct w:val="0"/>
              <w:autoSpaceDE/>
              <w:autoSpaceDN/>
              <w:bidi w:val="0"/>
              <w:spacing w:line="240" w:lineRule="auto"/>
              <w:jc w:val="center"/>
              <w:textAlignment w:val="center"/>
              <w:rPr>
                <w:rFonts w:ascii="宋体" w:hAnsi="宋体"/>
                <w:highlight w:val="none"/>
              </w:rPr>
            </w:pP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p>
        </w:tc>
        <w:tc>
          <w:tcPr>
            <w:tcW w:w="5607" w:type="dxa"/>
            <w:vAlign w:val="center"/>
          </w:tcPr>
          <w:p w14:paraId="4F0E9440">
            <w:pPr>
              <w:spacing w:line="240" w:lineRule="auto"/>
              <w:rPr>
                <w:highlight w:val="none"/>
              </w:rPr>
            </w:pPr>
            <w:r>
              <w:rPr>
                <w:rFonts w:hint="eastAsia" w:ascii="宋体" w:hAnsi="宋体" w:eastAsia="宋体" w:cs="宋体"/>
                <w:sz w:val="21"/>
                <w:szCs w:val="21"/>
                <w:highlight w:val="none"/>
                <w:lang w:val="en-US" w:eastAsia="zh-CN"/>
              </w:rPr>
              <w:t>根据投标人提供的服务方案中</w:t>
            </w:r>
            <w:r>
              <w:rPr>
                <w:rFonts w:hint="eastAsia" w:ascii="宋体" w:hAnsi="宋体" w:eastAsia="宋体" w:cs="宋体"/>
                <w:color w:val="000000"/>
                <w:sz w:val="21"/>
                <w:szCs w:val="21"/>
                <w:highlight w:val="none"/>
              </w:rPr>
              <w:t>人员配备，施工方案</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联络方式安排</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响应时间</w:t>
            </w:r>
            <w:r>
              <w:rPr>
                <w:rFonts w:hint="eastAsia" w:ascii="宋体" w:hAnsi="宋体" w:eastAsia="宋体" w:cs="宋体"/>
                <w:color w:val="000000"/>
                <w:sz w:val="21"/>
                <w:szCs w:val="21"/>
                <w:highlight w:val="none"/>
                <w:lang w:val="en-US" w:eastAsia="zh-CN"/>
              </w:rPr>
              <w:t>等内容</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可执行性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强且优于招标人</w:t>
            </w:r>
            <w:r>
              <w:rPr>
                <w:rFonts w:hint="eastAsia" w:ascii="宋体" w:hAnsi="宋体" w:eastAsia="宋体" w:cs="宋体"/>
                <w:color w:val="000000"/>
                <w:sz w:val="21"/>
                <w:szCs w:val="21"/>
                <w:highlight w:val="none"/>
              </w:rPr>
              <w:t>的设计、测量、制作、安装</w:t>
            </w:r>
            <w:r>
              <w:rPr>
                <w:rFonts w:hint="eastAsia" w:ascii="宋体" w:hAnsi="宋体" w:eastAsia="宋体" w:cs="宋体"/>
                <w:color w:val="000000"/>
                <w:sz w:val="21"/>
                <w:szCs w:val="21"/>
                <w:highlight w:val="none"/>
                <w:lang w:val="en-US" w:eastAsia="zh-CN"/>
              </w:rPr>
              <w:t>及</w:t>
            </w:r>
            <w:r>
              <w:rPr>
                <w:rFonts w:hint="eastAsia" w:ascii="宋体" w:hAnsi="宋体" w:eastAsia="宋体" w:cs="宋体"/>
                <w:color w:val="000000"/>
                <w:sz w:val="21"/>
                <w:szCs w:val="21"/>
                <w:highlight w:val="none"/>
              </w:rPr>
              <w:t>应急情况下的响应</w:t>
            </w:r>
            <w:r>
              <w:rPr>
                <w:rFonts w:hint="eastAsia" w:ascii="宋体" w:hAnsi="宋体" w:eastAsia="宋体" w:cs="宋体"/>
                <w:color w:val="000000"/>
                <w:sz w:val="21"/>
                <w:szCs w:val="21"/>
                <w:highlight w:val="none"/>
                <w:lang w:val="en-US" w:eastAsia="zh-CN"/>
              </w:rPr>
              <w:t>时间</w:t>
            </w:r>
            <w:r>
              <w:rPr>
                <w:rFonts w:hint="eastAsia" w:ascii="宋体" w:hAnsi="宋体" w:eastAsia="宋体" w:cs="宋体"/>
                <w:color w:val="000000"/>
                <w:sz w:val="21"/>
                <w:szCs w:val="21"/>
                <w:highlight w:val="none"/>
              </w:rPr>
              <w:t>要求</w:t>
            </w:r>
            <w:r>
              <w:rPr>
                <w:rFonts w:hint="eastAsia" w:ascii="宋体" w:hAnsi="宋体" w:eastAsia="宋体" w:cs="宋体"/>
                <w:color w:val="000000"/>
                <w:sz w:val="21"/>
                <w:szCs w:val="21"/>
                <w:highlight w:val="none"/>
                <w:lang w:val="en-US" w:eastAsia="zh-CN"/>
              </w:rPr>
              <w:t>的得</w:t>
            </w: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可执行性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强且满足招标人</w:t>
            </w:r>
            <w:r>
              <w:rPr>
                <w:rFonts w:hint="eastAsia" w:ascii="宋体" w:hAnsi="宋体" w:eastAsia="宋体" w:cs="宋体"/>
                <w:color w:val="000000"/>
                <w:sz w:val="21"/>
                <w:szCs w:val="21"/>
                <w:highlight w:val="none"/>
              </w:rPr>
              <w:t>的设计、测量、制作、安装</w:t>
            </w:r>
            <w:r>
              <w:rPr>
                <w:rFonts w:hint="eastAsia" w:ascii="宋体" w:hAnsi="宋体" w:eastAsia="宋体" w:cs="宋体"/>
                <w:color w:val="000000"/>
                <w:sz w:val="21"/>
                <w:szCs w:val="21"/>
                <w:highlight w:val="none"/>
                <w:lang w:val="en-US" w:eastAsia="zh-CN"/>
              </w:rPr>
              <w:t>及</w:t>
            </w:r>
            <w:r>
              <w:rPr>
                <w:rFonts w:hint="eastAsia" w:ascii="宋体" w:hAnsi="宋体" w:eastAsia="宋体" w:cs="宋体"/>
                <w:color w:val="000000"/>
                <w:sz w:val="21"/>
                <w:szCs w:val="21"/>
                <w:highlight w:val="none"/>
              </w:rPr>
              <w:t>应急情况下的响应</w:t>
            </w:r>
            <w:r>
              <w:rPr>
                <w:rFonts w:hint="eastAsia" w:ascii="宋体" w:hAnsi="宋体" w:eastAsia="宋体" w:cs="宋体"/>
                <w:color w:val="000000"/>
                <w:sz w:val="21"/>
                <w:szCs w:val="21"/>
                <w:highlight w:val="none"/>
                <w:lang w:val="en-US" w:eastAsia="zh-CN"/>
              </w:rPr>
              <w:t>时间</w:t>
            </w:r>
            <w:r>
              <w:rPr>
                <w:rFonts w:hint="eastAsia" w:ascii="宋体" w:hAnsi="宋体" w:eastAsia="宋体" w:cs="宋体"/>
                <w:color w:val="000000"/>
                <w:sz w:val="21"/>
                <w:szCs w:val="21"/>
                <w:highlight w:val="none"/>
              </w:rPr>
              <w:t>要求</w:t>
            </w:r>
            <w:r>
              <w:rPr>
                <w:rFonts w:hint="eastAsia" w:ascii="宋体" w:hAnsi="宋体" w:eastAsia="宋体" w:cs="宋体"/>
                <w:color w:val="000000"/>
                <w:sz w:val="21"/>
                <w:szCs w:val="21"/>
                <w:highlight w:val="none"/>
                <w:lang w:val="en-US" w:eastAsia="zh-CN"/>
              </w:rPr>
              <w:t>的得7.2分；</w:t>
            </w:r>
            <w:r>
              <w:rPr>
                <w:rFonts w:hint="eastAsia" w:ascii="宋体" w:hAnsi="宋体" w:eastAsia="宋体" w:cs="宋体"/>
                <w:color w:val="000000"/>
                <w:sz w:val="21"/>
                <w:szCs w:val="21"/>
                <w:highlight w:val="none"/>
              </w:rPr>
              <w:t>可执行性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一般且</w:t>
            </w:r>
            <w:r>
              <w:rPr>
                <w:rFonts w:hint="eastAsia" w:ascii="宋体" w:hAnsi="宋体" w:eastAsia="宋体" w:cs="宋体"/>
                <w:color w:val="000000"/>
                <w:sz w:val="21"/>
                <w:szCs w:val="21"/>
                <w:highlight w:val="none"/>
              </w:rPr>
              <w:t>满足</w:t>
            </w:r>
            <w:r>
              <w:rPr>
                <w:rFonts w:hint="eastAsia" w:ascii="宋体" w:hAnsi="宋体" w:eastAsia="宋体" w:cs="宋体"/>
                <w:color w:val="000000"/>
                <w:sz w:val="21"/>
                <w:szCs w:val="21"/>
                <w:highlight w:val="none"/>
                <w:lang w:val="en-US" w:eastAsia="zh-CN"/>
              </w:rPr>
              <w:t>招标人</w:t>
            </w:r>
            <w:r>
              <w:rPr>
                <w:rFonts w:hint="eastAsia" w:ascii="宋体" w:hAnsi="宋体" w:eastAsia="宋体" w:cs="宋体"/>
                <w:color w:val="000000"/>
                <w:sz w:val="21"/>
                <w:szCs w:val="21"/>
                <w:highlight w:val="none"/>
              </w:rPr>
              <w:t>的设计、测量、制作、安装</w:t>
            </w:r>
            <w:r>
              <w:rPr>
                <w:rFonts w:hint="eastAsia" w:ascii="宋体" w:hAnsi="宋体" w:eastAsia="宋体" w:cs="宋体"/>
                <w:color w:val="000000"/>
                <w:sz w:val="21"/>
                <w:szCs w:val="21"/>
                <w:highlight w:val="none"/>
                <w:lang w:val="en-US" w:eastAsia="zh-CN"/>
              </w:rPr>
              <w:t>及</w:t>
            </w:r>
            <w:r>
              <w:rPr>
                <w:rFonts w:hint="eastAsia" w:ascii="宋体" w:hAnsi="宋体" w:eastAsia="宋体" w:cs="宋体"/>
                <w:color w:val="000000"/>
                <w:sz w:val="21"/>
                <w:szCs w:val="21"/>
                <w:highlight w:val="none"/>
              </w:rPr>
              <w:t>应急情况下的响应</w:t>
            </w:r>
            <w:r>
              <w:rPr>
                <w:rFonts w:hint="eastAsia" w:ascii="宋体" w:hAnsi="宋体" w:eastAsia="宋体" w:cs="宋体"/>
                <w:color w:val="000000"/>
                <w:sz w:val="21"/>
                <w:szCs w:val="21"/>
                <w:highlight w:val="none"/>
                <w:lang w:val="en-US" w:eastAsia="zh-CN"/>
              </w:rPr>
              <w:t>时间</w:t>
            </w:r>
            <w:r>
              <w:rPr>
                <w:rFonts w:hint="eastAsia" w:ascii="宋体" w:hAnsi="宋体" w:eastAsia="宋体" w:cs="宋体"/>
                <w:color w:val="000000"/>
                <w:sz w:val="21"/>
                <w:szCs w:val="21"/>
                <w:highlight w:val="none"/>
              </w:rPr>
              <w:t>要求</w:t>
            </w:r>
            <w:r>
              <w:rPr>
                <w:rFonts w:hint="eastAsia" w:ascii="宋体" w:hAnsi="宋体" w:eastAsia="宋体" w:cs="宋体"/>
                <w:color w:val="000000"/>
                <w:sz w:val="21"/>
                <w:szCs w:val="21"/>
                <w:highlight w:val="none"/>
                <w:lang w:val="en-US" w:eastAsia="zh-CN"/>
              </w:rPr>
              <w:t>的得6.4分；其他的不得分，本项满分</w:t>
            </w: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p>
        </w:tc>
        <w:tc>
          <w:tcPr>
            <w:tcW w:w="1591" w:type="dxa"/>
            <w:vAlign w:val="center"/>
          </w:tcPr>
          <w:p w14:paraId="416A00AA">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评审核验投标文件中的下述文件：</w:t>
            </w:r>
          </w:p>
          <w:p w14:paraId="2601B157">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投标文件</w:t>
            </w:r>
            <w:r>
              <w:rPr>
                <w:rFonts w:hint="eastAsia" w:ascii="宋体" w:hAnsi="宋体" w:eastAsia="宋体" w:cs="宋体"/>
                <w:sz w:val="21"/>
                <w:szCs w:val="21"/>
                <w:highlight w:val="none"/>
              </w:rPr>
              <w:t>须能充分有效反映出本评分项内容</w:t>
            </w:r>
            <w:r>
              <w:rPr>
                <w:rFonts w:hint="eastAsia" w:ascii="宋体" w:hAnsi="宋体" w:cs="宋体"/>
                <w:sz w:val="21"/>
                <w:szCs w:val="21"/>
                <w:highlight w:val="none"/>
                <w:lang w:eastAsia="zh-CN"/>
              </w:rPr>
              <w:t>。</w:t>
            </w:r>
          </w:p>
        </w:tc>
      </w:tr>
      <w:tr w14:paraId="5C89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Align w:val="center"/>
          </w:tcPr>
          <w:p w14:paraId="11E022D7">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2</w:t>
            </w:r>
          </w:p>
        </w:tc>
        <w:tc>
          <w:tcPr>
            <w:tcW w:w="1300" w:type="dxa"/>
            <w:vAlign w:val="center"/>
          </w:tcPr>
          <w:p w14:paraId="106A79EF">
            <w:pPr>
              <w:spacing w:line="240" w:lineRule="auto"/>
              <w:jc w:val="center"/>
              <w:rPr>
                <w:rFonts w:cs="宋体"/>
                <w:bCs/>
                <w:szCs w:val="21"/>
                <w:highlight w:val="none"/>
              </w:rPr>
            </w:pPr>
            <w:r>
              <w:rPr>
                <w:rFonts w:hint="eastAsia" w:ascii="宋体" w:hAnsi="宋体" w:eastAsia="宋体" w:cs="宋体"/>
                <w:sz w:val="21"/>
                <w:szCs w:val="21"/>
                <w:highlight w:val="none"/>
              </w:rPr>
              <w:t>产品质量及安全保证</w:t>
            </w:r>
            <w:r>
              <w:rPr>
                <w:rFonts w:hint="eastAsia" w:ascii="宋体" w:hAnsi="宋体" w:eastAsia="宋体" w:cs="宋体"/>
                <w:sz w:val="21"/>
                <w:szCs w:val="21"/>
                <w:highlight w:val="none"/>
                <w:lang w:val="en-US" w:eastAsia="zh-CN"/>
              </w:rPr>
              <w:t>措施</w:t>
            </w:r>
          </w:p>
        </w:tc>
        <w:tc>
          <w:tcPr>
            <w:tcW w:w="754" w:type="dxa"/>
            <w:vAlign w:val="center"/>
          </w:tcPr>
          <w:p w14:paraId="45DC1305">
            <w:pPr>
              <w:keepNext w:val="0"/>
              <w:keepLines w:val="0"/>
              <w:pageBreakBefore w:val="0"/>
              <w:widowControl/>
              <w:kinsoku/>
              <w:wordWrap/>
              <w:overflowPunct/>
              <w:topLinePunct w:val="0"/>
              <w:autoSpaceDE/>
              <w:autoSpaceDN/>
              <w:bidi w:val="0"/>
              <w:spacing w:line="240" w:lineRule="auto"/>
              <w:jc w:val="center"/>
              <w:textAlignment w:val="center"/>
              <w:rPr>
                <w:rFonts w:ascii="宋体" w:hAnsi="宋体"/>
                <w:color w:val="000000"/>
                <w:szCs w:val="21"/>
                <w:highlight w:val="none"/>
              </w:rPr>
            </w:pP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val="en-US" w:eastAsia="zh-CN"/>
              </w:rPr>
              <w:t>分</w:t>
            </w:r>
          </w:p>
        </w:tc>
        <w:tc>
          <w:tcPr>
            <w:tcW w:w="5607" w:type="dxa"/>
            <w:vAlign w:val="center"/>
          </w:tcPr>
          <w:p w14:paraId="3F615788">
            <w:pPr>
              <w:spacing w:line="240" w:lineRule="auto"/>
              <w:rPr>
                <w:highlight w:val="none"/>
              </w:rPr>
            </w:pPr>
            <w:r>
              <w:rPr>
                <w:rFonts w:hint="eastAsia" w:ascii="宋体" w:hAnsi="宋体" w:eastAsia="宋体" w:cs="宋体"/>
                <w:sz w:val="21"/>
                <w:szCs w:val="21"/>
                <w:highlight w:val="none"/>
                <w:lang w:val="en-US" w:eastAsia="zh-CN"/>
              </w:rPr>
              <w:t>根据投标人提供的</w:t>
            </w:r>
            <w:r>
              <w:rPr>
                <w:rFonts w:hint="eastAsia" w:ascii="宋体" w:hAnsi="宋体" w:eastAsia="宋体" w:cs="宋体"/>
                <w:color w:val="000000"/>
                <w:sz w:val="21"/>
                <w:szCs w:val="21"/>
                <w:highlight w:val="none"/>
              </w:rPr>
              <w:t>方案阐述采用何种措施保证项目中的产品质量，保质期内破损更换，具有安全文明施工保证体系</w:t>
            </w:r>
            <w:r>
              <w:rPr>
                <w:rFonts w:hint="eastAsia" w:ascii="宋体" w:hAnsi="宋体" w:eastAsia="宋体" w:cs="宋体"/>
                <w:color w:val="000000"/>
                <w:sz w:val="21"/>
                <w:szCs w:val="21"/>
                <w:highlight w:val="none"/>
                <w:lang w:val="en-US" w:eastAsia="zh-CN"/>
              </w:rPr>
              <w:t>等，</w:t>
            </w:r>
            <w:r>
              <w:rPr>
                <w:rFonts w:hint="eastAsia" w:ascii="宋体" w:hAnsi="宋体" w:eastAsia="宋体" w:cs="宋体"/>
                <w:color w:val="000000"/>
                <w:sz w:val="21"/>
                <w:szCs w:val="21"/>
                <w:highlight w:val="none"/>
              </w:rPr>
              <w:t>方案的可</w:t>
            </w:r>
            <w:r>
              <w:rPr>
                <w:rFonts w:hint="eastAsia" w:ascii="宋体" w:hAnsi="宋体" w:eastAsia="宋体" w:cs="宋体"/>
                <w:color w:val="000000"/>
                <w:sz w:val="21"/>
                <w:szCs w:val="21"/>
                <w:highlight w:val="none"/>
                <w:lang w:val="en-US" w:eastAsia="zh-CN"/>
              </w:rPr>
              <w:t>行</w:t>
            </w:r>
            <w:r>
              <w:rPr>
                <w:rFonts w:hint="eastAsia" w:ascii="宋体" w:hAnsi="宋体" w:eastAsia="宋体" w:cs="宋体"/>
                <w:color w:val="000000"/>
                <w:sz w:val="21"/>
                <w:szCs w:val="21"/>
                <w:highlight w:val="none"/>
              </w:rPr>
              <w:t>性</w:t>
            </w:r>
            <w:r>
              <w:rPr>
                <w:rFonts w:hint="eastAsia" w:ascii="宋体" w:hAnsi="宋体" w:eastAsia="宋体" w:cs="宋体"/>
                <w:color w:val="000000"/>
                <w:sz w:val="21"/>
                <w:szCs w:val="21"/>
                <w:highlight w:val="none"/>
                <w:lang w:val="en-US" w:eastAsia="zh-CN"/>
              </w:rPr>
              <w:t>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都强的得</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方案的可</w:t>
            </w:r>
            <w:r>
              <w:rPr>
                <w:rFonts w:hint="eastAsia" w:ascii="宋体" w:hAnsi="宋体" w:eastAsia="宋体" w:cs="宋体"/>
                <w:color w:val="000000"/>
                <w:sz w:val="21"/>
                <w:szCs w:val="21"/>
                <w:highlight w:val="none"/>
                <w:lang w:val="en-US" w:eastAsia="zh-CN"/>
              </w:rPr>
              <w:t>行</w:t>
            </w:r>
            <w:r>
              <w:rPr>
                <w:rFonts w:hint="eastAsia" w:ascii="宋体" w:hAnsi="宋体" w:eastAsia="宋体" w:cs="宋体"/>
                <w:color w:val="000000"/>
                <w:sz w:val="21"/>
                <w:szCs w:val="21"/>
                <w:highlight w:val="none"/>
              </w:rPr>
              <w:t>性</w:t>
            </w:r>
            <w:r>
              <w:rPr>
                <w:rFonts w:hint="eastAsia" w:ascii="宋体" w:hAnsi="宋体" w:eastAsia="宋体" w:cs="宋体"/>
                <w:color w:val="000000"/>
                <w:sz w:val="21"/>
                <w:szCs w:val="21"/>
                <w:highlight w:val="none"/>
                <w:lang w:val="en-US" w:eastAsia="zh-CN"/>
              </w:rPr>
              <w:t>强和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一般的得3.6分；</w:t>
            </w:r>
            <w:r>
              <w:rPr>
                <w:rFonts w:hint="eastAsia" w:ascii="宋体" w:hAnsi="宋体" w:eastAsia="宋体" w:cs="宋体"/>
                <w:color w:val="000000"/>
                <w:sz w:val="21"/>
                <w:szCs w:val="21"/>
                <w:highlight w:val="none"/>
              </w:rPr>
              <w:t>方案的可</w:t>
            </w:r>
            <w:r>
              <w:rPr>
                <w:rFonts w:hint="eastAsia" w:ascii="宋体" w:hAnsi="宋体" w:eastAsia="宋体" w:cs="宋体"/>
                <w:color w:val="000000"/>
                <w:sz w:val="21"/>
                <w:szCs w:val="21"/>
                <w:highlight w:val="none"/>
                <w:lang w:val="en-US" w:eastAsia="zh-CN"/>
              </w:rPr>
              <w:t>行</w:t>
            </w:r>
            <w:r>
              <w:rPr>
                <w:rFonts w:hint="eastAsia" w:ascii="宋体" w:hAnsi="宋体" w:eastAsia="宋体" w:cs="宋体"/>
                <w:color w:val="000000"/>
                <w:sz w:val="21"/>
                <w:szCs w:val="21"/>
                <w:highlight w:val="none"/>
              </w:rPr>
              <w:t>性</w:t>
            </w:r>
            <w:r>
              <w:rPr>
                <w:rFonts w:hint="eastAsia" w:ascii="宋体" w:hAnsi="宋体" w:eastAsia="宋体" w:cs="宋体"/>
                <w:color w:val="000000"/>
                <w:sz w:val="21"/>
                <w:szCs w:val="21"/>
                <w:highlight w:val="none"/>
                <w:lang w:val="en-US" w:eastAsia="zh-CN"/>
              </w:rPr>
              <w:t>强和</w:t>
            </w:r>
            <w:r>
              <w:rPr>
                <w:rFonts w:hint="eastAsia" w:ascii="宋体" w:hAnsi="宋体" w:eastAsia="宋体" w:cs="宋体"/>
                <w:color w:val="000000"/>
                <w:sz w:val="21"/>
                <w:szCs w:val="21"/>
                <w:highlight w:val="none"/>
              </w:rPr>
              <w:t>完善性</w:t>
            </w:r>
            <w:r>
              <w:rPr>
                <w:rFonts w:hint="eastAsia" w:ascii="宋体" w:hAnsi="宋体" w:eastAsia="宋体" w:cs="宋体"/>
                <w:color w:val="000000"/>
                <w:sz w:val="21"/>
                <w:szCs w:val="21"/>
                <w:highlight w:val="none"/>
                <w:lang w:val="en-US" w:eastAsia="zh-CN"/>
              </w:rPr>
              <w:t>都一般的得3.2分；其他的不得分，本项满分</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val="en-US" w:eastAsia="zh-CN"/>
              </w:rPr>
              <w:t>分。</w:t>
            </w:r>
          </w:p>
        </w:tc>
        <w:tc>
          <w:tcPr>
            <w:tcW w:w="1591" w:type="dxa"/>
            <w:vAlign w:val="center"/>
          </w:tcPr>
          <w:p w14:paraId="7B68EC4D">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评审核验投标文件中的下述文件：</w:t>
            </w:r>
          </w:p>
          <w:p w14:paraId="00012444">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投标文件</w:t>
            </w:r>
            <w:r>
              <w:rPr>
                <w:rFonts w:hint="eastAsia" w:ascii="宋体" w:hAnsi="宋体" w:eastAsia="宋体" w:cs="宋体"/>
                <w:sz w:val="21"/>
                <w:szCs w:val="21"/>
                <w:highlight w:val="none"/>
              </w:rPr>
              <w:t>须能充分有效反映出本评分项内容</w:t>
            </w:r>
            <w:r>
              <w:rPr>
                <w:rFonts w:hint="eastAsia" w:ascii="宋体" w:hAnsi="宋体" w:cs="宋体"/>
                <w:sz w:val="21"/>
                <w:szCs w:val="21"/>
                <w:highlight w:val="none"/>
                <w:lang w:eastAsia="zh-CN"/>
              </w:rPr>
              <w:t>。</w:t>
            </w:r>
          </w:p>
        </w:tc>
      </w:tr>
      <w:tr w14:paraId="2AF5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532DF409">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3</w:t>
            </w:r>
          </w:p>
        </w:tc>
        <w:tc>
          <w:tcPr>
            <w:tcW w:w="1300" w:type="dxa"/>
            <w:vAlign w:val="center"/>
          </w:tcPr>
          <w:p w14:paraId="16088862">
            <w:pPr>
              <w:spacing w:line="240" w:lineRule="auto"/>
              <w:jc w:val="center"/>
              <w:rPr>
                <w:rFonts w:cs="宋体"/>
                <w:bCs/>
                <w:szCs w:val="21"/>
                <w:highlight w:val="none"/>
              </w:rPr>
            </w:pPr>
            <w:r>
              <w:rPr>
                <w:rFonts w:hint="eastAsia" w:ascii="宋体" w:hAnsi="宋体" w:eastAsia="宋体" w:cs="宋体"/>
                <w:sz w:val="21"/>
                <w:szCs w:val="21"/>
                <w:highlight w:val="none"/>
                <w:lang w:val="en-US" w:eastAsia="zh-CN"/>
              </w:rPr>
              <w:t>样品</w:t>
            </w:r>
          </w:p>
        </w:tc>
        <w:tc>
          <w:tcPr>
            <w:tcW w:w="754" w:type="dxa"/>
            <w:vAlign w:val="center"/>
          </w:tcPr>
          <w:p w14:paraId="313F247D">
            <w:pPr>
              <w:keepNext w:val="0"/>
              <w:keepLines w:val="0"/>
              <w:pageBreakBefore w:val="0"/>
              <w:widowControl/>
              <w:kinsoku/>
              <w:wordWrap/>
              <w:overflowPunct/>
              <w:topLinePunct w:val="0"/>
              <w:autoSpaceDE/>
              <w:autoSpaceDN/>
              <w:bidi w:val="0"/>
              <w:spacing w:line="240" w:lineRule="auto"/>
              <w:jc w:val="center"/>
              <w:textAlignment w:val="center"/>
              <w:rPr>
                <w:rFonts w:ascii="宋体" w:hAnsi="宋体"/>
                <w:color w:val="000000"/>
                <w:szCs w:val="21"/>
                <w:highlight w:val="none"/>
              </w:rPr>
            </w:pP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lang w:val="en-US" w:eastAsia="zh-CN"/>
              </w:rPr>
              <w:t>分</w:t>
            </w:r>
          </w:p>
        </w:tc>
        <w:tc>
          <w:tcPr>
            <w:tcW w:w="5607" w:type="dxa"/>
            <w:shd w:val="clear" w:color="auto" w:fill="auto"/>
            <w:vAlign w:val="center"/>
          </w:tcPr>
          <w:p w14:paraId="55A08311">
            <w:pPr>
              <w:keepNext w:val="0"/>
              <w:keepLines w:val="0"/>
              <w:pageBreakBefore w:val="0"/>
              <w:widowControl/>
              <w:numPr>
                <w:ilvl w:val="0"/>
                <w:numId w:val="0"/>
              </w:numPr>
              <w:kinsoku/>
              <w:wordWrap/>
              <w:overflowPunct/>
              <w:topLinePunct w:val="0"/>
              <w:autoSpaceDE/>
              <w:autoSpaceDN/>
              <w:bidi w:val="0"/>
              <w:spacing w:line="240" w:lineRule="auto"/>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可移除胶贴+画面+保护膜。（</w:t>
            </w:r>
            <w:r>
              <w:rPr>
                <w:rFonts w:hint="eastAsia" w:ascii="宋体" w:hAnsi="宋体" w:eastAsia="宋体" w:cs="宋体"/>
                <w:i w:val="0"/>
                <w:iCs w:val="0"/>
                <w:caps w:val="0"/>
                <w:color w:val="333333"/>
                <w:spacing w:val="0"/>
                <w:kern w:val="0"/>
                <w:sz w:val="21"/>
                <w:szCs w:val="21"/>
                <w:highlight w:val="none"/>
                <w:shd w:val="clear" w:color="auto" w:fill="FFFFFF"/>
                <w:lang w:val="en-US" w:eastAsia="zh-CN" w:bidi="ar"/>
              </w:rPr>
              <w:t>画面为国标当心碰头样式，尺寸大小为A4</w:t>
            </w:r>
            <w:r>
              <w:rPr>
                <w:rFonts w:hint="eastAsia" w:ascii="宋体" w:hAnsi="宋体" w:eastAsia="宋体" w:cs="宋体"/>
                <w:color w:val="000000"/>
                <w:sz w:val="21"/>
                <w:szCs w:val="21"/>
                <w:highlight w:val="none"/>
              </w:rPr>
              <w:t>），</w:t>
            </w:r>
            <w:r>
              <w:rPr>
                <w:rFonts w:hint="eastAsia" w:ascii="宋体" w:hAnsi="宋体" w:eastAsia="宋体" w:cs="宋体"/>
                <w:sz w:val="21"/>
                <w:szCs w:val="21"/>
                <w:highlight w:val="none"/>
              </w:rPr>
              <w:t>根据投标人提供的样品的</w:t>
            </w:r>
            <w:r>
              <w:rPr>
                <w:rFonts w:hint="eastAsia" w:ascii="宋体" w:hAnsi="宋体" w:eastAsia="宋体" w:cs="宋体"/>
                <w:sz w:val="21"/>
                <w:szCs w:val="21"/>
                <w:highlight w:val="none"/>
                <w:lang w:val="en-US" w:eastAsia="zh-CN"/>
              </w:rPr>
              <w:t>品质</w:t>
            </w:r>
            <w:r>
              <w:rPr>
                <w:rFonts w:hint="eastAsia" w:ascii="宋体" w:hAnsi="宋体" w:eastAsia="宋体" w:cs="宋体"/>
                <w:sz w:val="21"/>
                <w:szCs w:val="21"/>
                <w:highlight w:val="none"/>
              </w:rPr>
              <w:t>进行打分，由高到低分四个档次，第一档次</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分，第二档次</w:t>
            </w:r>
            <w:r>
              <w:rPr>
                <w:rFonts w:hint="eastAsia" w:ascii="宋体" w:hAnsi="宋体" w:cs="宋体"/>
                <w:sz w:val="21"/>
                <w:szCs w:val="21"/>
                <w:highlight w:val="none"/>
                <w:lang w:val="en-US" w:eastAsia="zh-CN"/>
              </w:rPr>
              <w:t>2.7</w:t>
            </w:r>
            <w:r>
              <w:rPr>
                <w:rFonts w:hint="eastAsia" w:ascii="宋体" w:hAnsi="宋体" w:eastAsia="宋体" w:cs="宋体"/>
                <w:sz w:val="21"/>
                <w:szCs w:val="21"/>
                <w:highlight w:val="none"/>
              </w:rPr>
              <w:t>分，第三档次</w:t>
            </w:r>
            <w:r>
              <w:rPr>
                <w:rFonts w:hint="eastAsia" w:ascii="宋体" w:hAnsi="宋体" w:cs="宋体"/>
                <w:sz w:val="21"/>
                <w:szCs w:val="21"/>
                <w:highlight w:val="none"/>
                <w:lang w:val="en-US" w:eastAsia="zh-CN"/>
              </w:rPr>
              <w:t>2.4</w:t>
            </w:r>
            <w:r>
              <w:rPr>
                <w:rFonts w:hint="eastAsia" w:ascii="宋体" w:hAnsi="宋体" w:eastAsia="宋体" w:cs="宋体"/>
                <w:sz w:val="21"/>
                <w:szCs w:val="21"/>
                <w:highlight w:val="none"/>
              </w:rPr>
              <w:t>分，第四档次</w:t>
            </w:r>
            <w:r>
              <w:rPr>
                <w:rFonts w:hint="eastAsia" w:ascii="宋体" w:hAnsi="宋体" w:cs="宋体"/>
                <w:sz w:val="21"/>
                <w:szCs w:val="21"/>
                <w:highlight w:val="none"/>
                <w:lang w:val="en-US" w:eastAsia="zh-CN"/>
              </w:rPr>
              <w:t>2.1</w:t>
            </w:r>
            <w:r>
              <w:rPr>
                <w:rFonts w:hint="eastAsia" w:ascii="宋体" w:hAnsi="宋体" w:eastAsia="宋体" w:cs="宋体"/>
                <w:sz w:val="21"/>
                <w:szCs w:val="21"/>
                <w:highlight w:val="none"/>
                <w:lang w:val="en-US" w:eastAsia="zh-CN"/>
              </w:rPr>
              <w:t>分。</w:t>
            </w:r>
          </w:p>
          <w:p w14:paraId="63C0D33B">
            <w:pPr>
              <w:keepNext w:val="0"/>
              <w:keepLines w:val="0"/>
              <w:pageBreakBefore w:val="0"/>
              <w:widowControl/>
              <w:numPr>
                <w:ilvl w:val="0"/>
                <w:numId w:val="0"/>
              </w:numPr>
              <w:kinsoku/>
              <w:wordWrap/>
              <w:overflowPunct/>
              <w:topLinePunct w:val="0"/>
              <w:autoSpaceDE/>
              <w:autoSpaceDN/>
              <w:bidi w:val="0"/>
              <w:spacing w:line="240" w:lineRule="auto"/>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2㎜铝板+工程反光膜+刻字（画面为国标禁止攀爬，尺寸</w:t>
            </w:r>
            <w:r>
              <w:rPr>
                <w:rFonts w:hint="eastAsia" w:ascii="宋体" w:hAnsi="宋体" w:eastAsia="宋体" w:cs="宋体"/>
                <w:color w:val="000000"/>
                <w:sz w:val="21"/>
                <w:szCs w:val="21"/>
                <w:highlight w:val="none"/>
                <w:lang w:val="en-US" w:eastAsia="zh-CN"/>
              </w:rPr>
              <w:t>大小</w:t>
            </w:r>
            <w:r>
              <w:rPr>
                <w:rFonts w:hint="eastAsia" w:ascii="宋体" w:hAnsi="宋体" w:eastAsia="宋体" w:cs="宋体"/>
                <w:color w:val="000000"/>
                <w:sz w:val="21"/>
                <w:szCs w:val="21"/>
                <w:highlight w:val="none"/>
              </w:rPr>
              <w:t>为A4），</w:t>
            </w:r>
            <w:r>
              <w:rPr>
                <w:rFonts w:hint="eastAsia" w:ascii="宋体" w:hAnsi="宋体" w:eastAsia="宋体" w:cs="宋体"/>
                <w:sz w:val="21"/>
                <w:szCs w:val="21"/>
                <w:highlight w:val="none"/>
              </w:rPr>
              <w:t>根据投标人提供的样品的</w:t>
            </w:r>
            <w:r>
              <w:rPr>
                <w:rFonts w:hint="eastAsia" w:ascii="宋体" w:hAnsi="宋体" w:eastAsia="宋体" w:cs="宋体"/>
                <w:sz w:val="21"/>
                <w:szCs w:val="21"/>
                <w:highlight w:val="none"/>
                <w:lang w:val="en-US" w:eastAsia="zh-CN"/>
              </w:rPr>
              <w:t>品质</w:t>
            </w:r>
            <w:r>
              <w:rPr>
                <w:rFonts w:hint="eastAsia" w:ascii="宋体" w:hAnsi="宋体" w:eastAsia="宋体" w:cs="宋体"/>
                <w:sz w:val="21"/>
                <w:szCs w:val="21"/>
                <w:highlight w:val="none"/>
              </w:rPr>
              <w:t>进行打分，由高到低分四个档次，第一档次</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分，第二档次</w:t>
            </w:r>
            <w:r>
              <w:rPr>
                <w:rFonts w:hint="eastAsia" w:ascii="宋体" w:hAnsi="宋体" w:cs="宋体"/>
                <w:sz w:val="21"/>
                <w:szCs w:val="21"/>
                <w:highlight w:val="none"/>
                <w:lang w:val="en-US" w:eastAsia="zh-CN"/>
              </w:rPr>
              <w:t>2.7</w:t>
            </w:r>
            <w:r>
              <w:rPr>
                <w:rFonts w:hint="eastAsia" w:ascii="宋体" w:hAnsi="宋体" w:eastAsia="宋体" w:cs="宋体"/>
                <w:sz w:val="21"/>
                <w:szCs w:val="21"/>
                <w:highlight w:val="none"/>
              </w:rPr>
              <w:t>分，第三档次</w:t>
            </w:r>
            <w:r>
              <w:rPr>
                <w:rFonts w:hint="eastAsia" w:ascii="宋体" w:hAnsi="宋体" w:cs="宋体"/>
                <w:sz w:val="21"/>
                <w:szCs w:val="21"/>
                <w:highlight w:val="none"/>
                <w:lang w:val="en-US" w:eastAsia="zh-CN"/>
              </w:rPr>
              <w:t>2.4</w:t>
            </w:r>
            <w:r>
              <w:rPr>
                <w:rFonts w:hint="eastAsia" w:ascii="宋体" w:hAnsi="宋体" w:eastAsia="宋体" w:cs="宋体"/>
                <w:sz w:val="21"/>
                <w:szCs w:val="21"/>
                <w:highlight w:val="none"/>
              </w:rPr>
              <w:t>分，第四档次</w:t>
            </w:r>
            <w:r>
              <w:rPr>
                <w:rFonts w:hint="eastAsia" w:ascii="宋体" w:hAnsi="宋体" w:cs="宋体"/>
                <w:sz w:val="21"/>
                <w:szCs w:val="21"/>
                <w:highlight w:val="none"/>
                <w:lang w:val="en-US" w:eastAsia="zh-CN"/>
              </w:rPr>
              <w:t>2.1</w:t>
            </w:r>
            <w:r>
              <w:rPr>
                <w:rFonts w:hint="eastAsia" w:ascii="宋体" w:hAnsi="宋体" w:eastAsia="宋体" w:cs="宋体"/>
                <w:sz w:val="21"/>
                <w:szCs w:val="21"/>
                <w:highlight w:val="none"/>
                <w:lang w:val="en-US" w:eastAsia="zh-CN"/>
              </w:rPr>
              <w:t>分。</w:t>
            </w:r>
          </w:p>
          <w:p w14:paraId="62D6A637">
            <w:pPr>
              <w:keepNext w:val="0"/>
              <w:keepLines w:val="0"/>
              <w:pageBreakBefore w:val="0"/>
              <w:widowControl/>
              <w:numPr>
                <w:ilvl w:val="0"/>
                <w:numId w:val="0"/>
              </w:numPr>
              <w:kinsoku/>
              <w:wordWrap/>
              <w:overflowPunct/>
              <w:topLinePunct w:val="0"/>
              <w:autoSpaceDE/>
              <w:autoSpaceDN/>
              <w:bidi w:val="0"/>
              <w:spacing w:line="240" w:lineRule="auto"/>
              <w:ind w:left="0" w:leftChars="0" w:firstLine="0" w:firstLineChars="0"/>
              <w:jc w:val="left"/>
              <w:textAlignment w:val="center"/>
              <w:rPr>
                <w:rFonts w:hint="eastAsia"/>
                <w:highlight w:val="none"/>
              </w:rPr>
            </w:pPr>
            <w:r>
              <w:rPr>
                <w:rFonts w:hint="eastAsia" w:ascii="Calibri" w:hAnsi="Calibri" w:eastAsia="宋体" w:cs="Times New Roman"/>
                <w:kern w:val="2"/>
                <w:sz w:val="21"/>
                <w:szCs w:val="24"/>
                <w:highlight w:val="none"/>
                <w:lang w:val="en-US" w:eastAsia="zh-CN" w:bidi="ar-SA"/>
              </w:rPr>
              <w:t>（</w:t>
            </w:r>
            <w:r>
              <w:rPr>
                <w:rFonts w:hint="eastAsia" w:cs="Times New Roman"/>
                <w:kern w:val="2"/>
                <w:sz w:val="21"/>
                <w:szCs w:val="24"/>
                <w:highlight w:val="none"/>
                <w:lang w:val="en-US" w:eastAsia="zh-CN" w:bidi="ar-SA"/>
              </w:rPr>
              <w:t>3</w:t>
            </w:r>
            <w:r>
              <w:rPr>
                <w:rFonts w:hint="eastAsia" w:ascii="Calibri" w:hAnsi="Calibri" w:eastAsia="宋体" w:cs="Times New Roman"/>
                <w:kern w:val="2"/>
                <w:sz w:val="21"/>
                <w:szCs w:val="24"/>
                <w:highlight w:val="none"/>
                <w:lang w:val="en-US" w:eastAsia="zh-CN" w:bidi="ar-SA"/>
              </w:rPr>
              <w:t>）</w:t>
            </w:r>
            <w:r>
              <w:rPr>
                <w:rFonts w:hint="eastAsia" w:ascii="宋体" w:hAnsi="宋体" w:eastAsia="宋体" w:cs="宋体"/>
                <w:color w:val="000000"/>
                <w:sz w:val="21"/>
                <w:szCs w:val="21"/>
                <w:highlight w:val="none"/>
              </w:rPr>
              <w:t>画面+保护膜+5㎜PVC底板+5㎜透明亚克力倒斜边（班组管理看板，画面自行设计，尺寸</w:t>
            </w:r>
            <w:r>
              <w:rPr>
                <w:rFonts w:hint="eastAsia" w:ascii="宋体" w:hAnsi="宋体" w:eastAsia="宋体" w:cs="宋体"/>
                <w:color w:val="000000"/>
                <w:sz w:val="21"/>
                <w:szCs w:val="21"/>
                <w:highlight w:val="none"/>
                <w:lang w:val="en-US" w:eastAsia="zh-CN"/>
              </w:rPr>
              <w:t>大小</w:t>
            </w:r>
            <w:r>
              <w:rPr>
                <w:rFonts w:hint="eastAsia" w:ascii="宋体" w:hAnsi="宋体" w:eastAsia="宋体" w:cs="宋体"/>
                <w:color w:val="000000"/>
                <w:sz w:val="21"/>
                <w:szCs w:val="21"/>
                <w:highlight w:val="none"/>
              </w:rPr>
              <w:t>为A4），</w:t>
            </w:r>
            <w:r>
              <w:rPr>
                <w:rFonts w:hint="eastAsia" w:ascii="宋体" w:hAnsi="宋体" w:eastAsia="宋体" w:cs="宋体"/>
                <w:sz w:val="21"/>
                <w:szCs w:val="21"/>
                <w:highlight w:val="none"/>
              </w:rPr>
              <w:t>根据投标人提供的样品的</w:t>
            </w:r>
            <w:r>
              <w:rPr>
                <w:rFonts w:hint="eastAsia" w:ascii="宋体" w:hAnsi="宋体" w:eastAsia="宋体" w:cs="宋体"/>
                <w:sz w:val="21"/>
                <w:szCs w:val="21"/>
                <w:highlight w:val="none"/>
                <w:lang w:val="en-US" w:eastAsia="zh-CN"/>
              </w:rPr>
              <w:t>品质</w:t>
            </w:r>
            <w:r>
              <w:rPr>
                <w:rFonts w:hint="eastAsia" w:ascii="宋体" w:hAnsi="宋体" w:eastAsia="宋体" w:cs="宋体"/>
                <w:sz w:val="21"/>
                <w:szCs w:val="21"/>
                <w:highlight w:val="none"/>
              </w:rPr>
              <w:t>进行打分，由高到低分四个档次，第一档次</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分，第二档次</w:t>
            </w:r>
            <w:r>
              <w:rPr>
                <w:rFonts w:hint="eastAsia" w:ascii="宋体" w:hAnsi="宋体" w:cs="宋体"/>
                <w:sz w:val="21"/>
                <w:szCs w:val="21"/>
                <w:highlight w:val="none"/>
                <w:lang w:val="en-US" w:eastAsia="zh-CN"/>
              </w:rPr>
              <w:t>1.8</w:t>
            </w:r>
            <w:r>
              <w:rPr>
                <w:rFonts w:hint="eastAsia" w:ascii="宋体" w:hAnsi="宋体" w:eastAsia="宋体" w:cs="宋体"/>
                <w:sz w:val="21"/>
                <w:szCs w:val="21"/>
                <w:highlight w:val="none"/>
              </w:rPr>
              <w:t>分，第三档次</w:t>
            </w:r>
            <w:r>
              <w:rPr>
                <w:rFonts w:hint="eastAsia" w:ascii="宋体" w:hAnsi="宋体" w:cs="宋体"/>
                <w:sz w:val="21"/>
                <w:szCs w:val="21"/>
                <w:highlight w:val="none"/>
                <w:lang w:val="en-US" w:eastAsia="zh-CN"/>
              </w:rPr>
              <w:t>1.6</w:t>
            </w:r>
            <w:r>
              <w:rPr>
                <w:rFonts w:hint="eastAsia" w:ascii="宋体" w:hAnsi="宋体" w:eastAsia="宋体" w:cs="宋体"/>
                <w:sz w:val="21"/>
                <w:szCs w:val="21"/>
                <w:highlight w:val="none"/>
              </w:rPr>
              <w:t>分，第四档次</w:t>
            </w:r>
            <w:r>
              <w:rPr>
                <w:rFonts w:hint="eastAsia" w:ascii="宋体" w:hAnsi="宋体" w:cs="宋体"/>
                <w:sz w:val="21"/>
                <w:szCs w:val="21"/>
                <w:highlight w:val="none"/>
                <w:lang w:val="en-US" w:eastAsia="zh-CN"/>
              </w:rPr>
              <w:t>1.4</w:t>
            </w:r>
            <w:r>
              <w:rPr>
                <w:rFonts w:hint="eastAsia" w:ascii="宋体" w:hAnsi="宋体" w:eastAsia="宋体" w:cs="宋体"/>
                <w:sz w:val="21"/>
                <w:szCs w:val="21"/>
                <w:highlight w:val="none"/>
                <w:lang w:val="en-US" w:eastAsia="zh-CN"/>
              </w:rPr>
              <w:t>分。</w:t>
            </w:r>
          </w:p>
          <w:p w14:paraId="6E30FA65">
            <w:pPr>
              <w:spacing w:line="240" w:lineRule="auto"/>
              <w:rPr>
                <w:rFonts w:ascii="宋体" w:hAnsi="宋体"/>
                <w:highlight w:val="none"/>
              </w:rPr>
            </w:pPr>
            <w:r>
              <w:rPr>
                <w:rFonts w:hint="eastAsia" w:ascii="宋体" w:hAnsi="宋体" w:eastAsia="宋体" w:cs="宋体"/>
                <w:sz w:val="21"/>
                <w:szCs w:val="21"/>
                <w:highlight w:val="none"/>
                <w:lang w:val="en-US" w:eastAsia="zh-CN"/>
              </w:rPr>
              <w:t>注：未提供样品的不得分。</w:t>
            </w:r>
          </w:p>
        </w:tc>
        <w:tc>
          <w:tcPr>
            <w:tcW w:w="1591" w:type="dxa"/>
            <w:vAlign w:val="center"/>
          </w:tcPr>
          <w:p w14:paraId="000C1A24">
            <w:pPr>
              <w:keepNext w:val="0"/>
              <w:keepLines w:val="0"/>
              <w:pageBreakBefore w:val="0"/>
              <w:kinsoku/>
              <w:wordWrap/>
              <w:overflowPunct/>
              <w:topLinePunct w:val="0"/>
              <w:autoSpaceDE/>
              <w:autoSpaceDN/>
              <w:bidi w:val="0"/>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评审核验投标文件中的下述文件：</w:t>
            </w:r>
          </w:p>
          <w:p w14:paraId="2160B7A6">
            <w:pPr>
              <w:keepNext w:val="0"/>
              <w:keepLines w:val="0"/>
              <w:pageBreakBefore w:val="0"/>
              <w:kinsoku/>
              <w:wordWrap/>
              <w:overflowPunct/>
              <w:topLinePunct w:val="0"/>
              <w:autoSpaceDE/>
              <w:autoSpaceDN/>
              <w:bidi w:val="0"/>
              <w:spacing w:line="240" w:lineRule="auto"/>
              <w:jc w:val="center"/>
              <w:rPr>
                <w:rFonts w:ascii="宋体" w:hAnsi="宋体" w:cs="宋体"/>
                <w:szCs w:val="21"/>
                <w:highlight w:val="none"/>
              </w:rPr>
            </w:pPr>
            <w:r>
              <w:rPr>
                <w:rFonts w:hint="eastAsia" w:ascii="宋体" w:hAnsi="宋体" w:eastAsia="宋体" w:cs="宋体"/>
                <w:sz w:val="21"/>
                <w:szCs w:val="21"/>
                <w:highlight w:val="none"/>
                <w:lang w:val="en-US" w:eastAsia="zh-CN"/>
              </w:rPr>
              <w:t>样品</w:t>
            </w:r>
            <w:r>
              <w:rPr>
                <w:rFonts w:hint="eastAsia" w:ascii="宋体" w:hAnsi="宋体" w:eastAsia="宋体" w:cs="宋体"/>
                <w:sz w:val="21"/>
                <w:szCs w:val="21"/>
                <w:highlight w:val="none"/>
              </w:rPr>
              <w:t>须能充分有效反映出本评分项内容</w:t>
            </w:r>
            <w:r>
              <w:rPr>
                <w:rFonts w:hint="eastAsia" w:ascii="宋体" w:hAnsi="宋体" w:cs="宋体"/>
                <w:sz w:val="21"/>
                <w:szCs w:val="21"/>
                <w:highlight w:val="none"/>
                <w:lang w:eastAsia="zh-CN"/>
              </w:rPr>
              <w:t>。</w:t>
            </w:r>
          </w:p>
        </w:tc>
      </w:tr>
    </w:tbl>
    <w:p w14:paraId="4F3C2D6F">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注：</w:t>
      </w:r>
    </w:p>
    <w:p w14:paraId="127ADED3">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1.各投标人技术标总得分为各评委评分的平均值为最终得分。取两位小数，小数点后第三位四舍五入。</w:t>
      </w:r>
    </w:p>
    <w:p w14:paraId="0EC312E1">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2.该项目技术标为明标评审，样品递交方式：</w:t>
      </w:r>
    </w:p>
    <w:p w14:paraId="2944A4D2">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①本项目须提供不同的3件样品（详见3：样品清单 ），所有样品须全部一次性递交，不接受样品的修改及补充，提供不全的样品评分项按零分处理；各投标人务必在规定的时间内递交，时间以招标代理签收时间为准，逾期送达的将被拒绝，样品评分项按零分处理，请各投标人自行合理安排邮寄时间；</w:t>
      </w:r>
    </w:p>
    <w:p w14:paraId="61AD5E86">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②样品须使用顺丰快递密封送达至规定地点。样品邮寄地址：滁州市南谯区龙蟠大道109号房产大厦6楼605室，收件人：周蓓蕾，联系方式：18005505728，未使用顺丰快递送达的或未按要求密封的将被拒绝，样品评分项按零分处理。</w:t>
      </w:r>
    </w:p>
    <w:p w14:paraId="33776EFA">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③每个样品须在尾部分别标注对应序号。</w:t>
      </w:r>
    </w:p>
    <w:p w14:paraId="043C93E4">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④样品密封要求：样品需进行密封，否则样品得分按零分处理；在密封箱中放置加盖投标单位公章的样品清单，便于区分投标单位信息及后期核对样品。</w:t>
      </w:r>
    </w:p>
    <w:p w14:paraId="0B73F36D">
      <w:pPr>
        <w:spacing w:line="440" w:lineRule="exact"/>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⑤未中标的投标人样品在公示期结束后由未中标人自行取回或选择邮件退回（顺丰到付），逾期招标代理将不负责保管；中标人提供的样品在公示期结束后封存在招标代理处。</w:t>
      </w:r>
    </w:p>
    <w:p w14:paraId="65C8646C">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3.样品清单：</w:t>
      </w:r>
    </w:p>
    <w:tbl>
      <w:tblPr>
        <w:tblStyle w:val="19"/>
        <w:tblW w:w="8022" w:type="dxa"/>
        <w:jc w:val="center"/>
        <w:tblLayout w:type="fixed"/>
        <w:tblCellMar>
          <w:top w:w="0" w:type="dxa"/>
          <w:left w:w="108" w:type="dxa"/>
          <w:bottom w:w="0" w:type="dxa"/>
          <w:right w:w="108" w:type="dxa"/>
        </w:tblCellMar>
      </w:tblPr>
      <w:tblGrid>
        <w:gridCol w:w="782"/>
        <w:gridCol w:w="4996"/>
        <w:gridCol w:w="834"/>
        <w:gridCol w:w="1410"/>
      </w:tblGrid>
      <w:tr w14:paraId="5A2A3A05">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26F2269F">
            <w:pPr>
              <w:widowControl/>
              <w:jc w:val="center"/>
              <w:rPr>
                <w:rFonts w:ascii="宋体" w:hAnsi="宋体" w:cs="宋体"/>
                <w:b/>
                <w:kern w:val="0"/>
                <w:szCs w:val="21"/>
                <w:highlight w:val="none"/>
              </w:rPr>
            </w:pPr>
            <w:r>
              <w:rPr>
                <w:rFonts w:hint="eastAsia" w:ascii="宋体" w:hAnsi="宋体" w:cs="宋体"/>
                <w:b/>
                <w:kern w:val="0"/>
                <w:szCs w:val="21"/>
                <w:highlight w:val="none"/>
              </w:rPr>
              <w:t>序号</w:t>
            </w:r>
          </w:p>
        </w:tc>
        <w:tc>
          <w:tcPr>
            <w:tcW w:w="4996" w:type="dxa"/>
            <w:tcBorders>
              <w:top w:val="single" w:color="auto" w:sz="4" w:space="0"/>
              <w:left w:val="single" w:color="auto" w:sz="4" w:space="0"/>
              <w:bottom w:val="single" w:color="auto" w:sz="4" w:space="0"/>
              <w:right w:val="single" w:color="auto" w:sz="4" w:space="0"/>
            </w:tcBorders>
            <w:noWrap/>
            <w:vAlign w:val="center"/>
          </w:tcPr>
          <w:p w14:paraId="0793B16C">
            <w:pPr>
              <w:widowControl/>
              <w:jc w:val="center"/>
              <w:rPr>
                <w:rFonts w:ascii="宋体" w:hAnsi="宋体" w:cs="宋体"/>
                <w:b/>
                <w:kern w:val="0"/>
                <w:szCs w:val="21"/>
                <w:highlight w:val="none"/>
              </w:rPr>
            </w:pPr>
            <w:r>
              <w:rPr>
                <w:rFonts w:hint="eastAsia" w:ascii="宋体" w:hAnsi="宋体" w:cs="宋体"/>
                <w:b/>
                <w:kern w:val="0"/>
                <w:szCs w:val="21"/>
                <w:highlight w:val="none"/>
              </w:rPr>
              <w:t>名称</w:t>
            </w:r>
          </w:p>
        </w:tc>
        <w:tc>
          <w:tcPr>
            <w:tcW w:w="834" w:type="dxa"/>
            <w:tcBorders>
              <w:top w:val="single" w:color="auto" w:sz="4" w:space="0"/>
              <w:left w:val="nil"/>
              <w:bottom w:val="single" w:color="auto" w:sz="4" w:space="0"/>
              <w:right w:val="single" w:color="auto" w:sz="4" w:space="0"/>
            </w:tcBorders>
            <w:vAlign w:val="center"/>
          </w:tcPr>
          <w:p w14:paraId="4F57C5FC">
            <w:pPr>
              <w:widowControl/>
              <w:jc w:val="center"/>
              <w:rPr>
                <w:rFonts w:ascii="宋体" w:hAnsi="宋体" w:cs="宋体"/>
                <w:b/>
                <w:kern w:val="0"/>
                <w:szCs w:val="21"/>
                <w:highlight w:val="none"/>
              </w:rPr>
            </w:pPr>
            <w:r>
              <w:rPr>
                <w:rFonts w:hint="eastAsia" w:ascii="宋体" w:hAnsi="宋体" w:cs="宋体"/>
                <w:b/>
                <w:kern w:val="0"/>
                <w:szCs w:val="21"/>
                <w:highlight w:val="none"/>
              </w:rPr>
              <w:t>单位</w:t>
            </w:r>
          </w:p>
        </w:tc>
        <w:tc>
          <w:tcPr>
            <w:tcW w:w="1410" w:type="dxa"/>
            <w:tcBorders>
              <w:top w:val="single" w:color="auto" w:sz="4" w:space="0"/>
              <w:left w:val="single" w:color="auto" w:sz="4" w:space="0"/>
              <w:bottom w:val="single" w:color="auto" w:sz="4" w:space="0"/>
              <w:right w:val="single" w:color="auto" w:sz="4" w:space="0"/>
            </w:tcBorders>
            <w:noWrap/>
            <w:vAlign w:val="center"/>
          </w:tcPr>
          <w:p w14:paraId="4C856DAB">
            <w:pPr>
              <w:widowControl/>
              <w:jc w:val="center"/>
              <w:rPr>
                <w:rFonts w:ascii="宋体" w:hAnsi="宋体" w:cs="宋体"/>
                <w:b/>
                <w:kern w:val="0"/>
                <w:szCs w:val="21"/>
                <w:highlight w:val="none"/>
              </w:rPr>
            </w:pPr>
            <w:r>
              <w:rPr>
                <w:rFonts w:hint="eastAsia" w:ascii="宋体" w:hAnsi="宋体" w:cs="宋体"/>
                <w:b/>
                <w:kern w:val="0"/>
                <w:szCs w:val="21"/>
                <w:highlight w:val="none"/>
              </w:rPr>
              <w:t>数量</w:t>
            </w:r>
          </w:p>
        </w:tc>
      </w:tr>
      <w:tr w14:paraId="11D71530">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64441180">
            <w:pPr>
              <w:widowControl/>
              <w:jc w:val="center"/>
              <w:rPr>
                <w:rFonts w:ascii="宋体" w:hAnsi="宋体"/>
                <w:b/>
                <w:bCs/>
                <w:color w:val="000000"/>
                <w:szCs w:val="21"/>
                <w:highlight w:val="none"/>
              </w:rPr>
            </w:pPr>
            <w:r>
              <w:rPr>
                <w:rFonts w:ascii="宋体" w:hAnsi="宋体"/>
                <w:b/>
                <w:bCs/>
                <w:color w:val="000000"/>
                <w:szCs w:val="21"/>
                <w:highlight w:val="none"/>
              </w:rPr>
              <w:t>1</w:t>
            </w:r>
          </w:p>
        </w:tc>
        <w:tc>
          <w:tcPr>
            <w:tcW w:w="4996" w:type="dxa"/>
            <w:tcBorders>
              <w:top w:val="single" w:color="auto" w:sz="4" w:space="0"/>
              <w:left w:val="single" w:color="auto" w:sz="4" w:space="0"/>
              <w:bottom w:val="single" w:color="auto" w:sz="4" w:space="0"/>
              <w:right w:val="single" w:color="auto" w:sz="4" w:space="0"/>
            </w:tcBorders>
            <w:noWrap/>
            <w:vAlign w:val="center"/>
          </w:tcPr>
          <w:p w14:paraId="0F993B20">
            <w:pPr>
              <w:widowControl/>
              <w:jc w:val="center"/>
              <w:rPr>
                <w:rFonts w:hint="eastAsia" w:ascii="宋体" w:hAnsi="宋体" w:cs="宋体" w:eastAsiaTheme="minorEastAsia"/>
                <w:color w:val="000000"/>
                <w:kern w:val="0"/>
                <w:szCs w:val="21"/>
                <w:highlight w:val="none"/>
                <w:lang w:eastAsia="zh-CN"/>
              </w:rPr>
            </w:pPr>
            <w:r>
              <w:rPr>
                <w:rFonts w:hint="eastAsia" w:ascii="宋体" w:hAnsi="宋体"/>
                <w:color w:val="000000"/>
                <w:szCs w:val="21"/>
                <w:highlight w:val="none"/>
              </w:rPr>
              <w:t>可移除胶贴+画面+保护膜（</w:t>
            </w:r>
            <w:r>
              <w:rPr>
                <w:rFonts w:hint="eastAsia" w:ascii="宋体" w:hAnsi="宋体"/>
                <w:color w:val="000000"/>
                <w:szCs w:val="21"/>
                <w:highlight w:val="none"/>
                <w:lang w:val="en-US" w:eastAsia="zh-CN"/>
              </w:rPr>
              <w:t>画面为国标当心碰头样式，尺寸大小为A4</w:t>
            </w:r>
            <w:r>
              <w:rPr>
                <w:rFonts w:hint="eastAsia" w:ascii="宋体" w:hAnsi="宋体"/>
                <w:color w:val="000000"/>
                <w:szCs w:val="21"/>
                <w:highlight w:val="none"/>
              </w:rPr>
              <w:t>）</w:t>
            </w:r>
          </w:p>
        </w:tc>
        <w:tc>
          <w:tcPr>
            <w:tcW w:w="834" w:type="dxa"/>
            <w:tcBorders>
              <w:top w:val="single" w:color="auto" w:sz="4" w:space="0"/>
              <w:left w:val="nil"/>
              <w:bottom w:val="single" w:color="auto" w:sz="4" w:space="0"/>
              <w:right w:val="single" w:color="auto" w:sz="4" w:space="0"/>
            </w:tcBorders>
            <w:vAlign w:val="center"/>
          </w:tcPr>
          <w:p w14:paraId="187FF8F1">
            <w:pPr>
              <w:widowControl/>
              <w:jc w:val="center"/>
              <w:rPr>
                <w:rFonts w:ascii="宋体" w:hAnsi="宋体" w:cs="宋体"/>
                <w:kern w:val="0"/>
                <w:szCs w:val="21"/>
                <w:highlight w:val="none"/>
              </w:rPr>
            </w:pPr>
            <w:r>
              <w:rPr>
                <w:rFonts w:hint="eastAsia" w:ascii="宋体" w:hAnsi="宋体" w:cs="宋体"/>
                <w:kern w:val="0"/>
                <w:szCs w:val="21"/>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66CBF846">
            <w:pPr>
              <w:widowControl/>
              <w:jc w:val="center"/>
              <w:rPr>
                <w:rFonts w:ascii="宋体" w:hAnsi="宋体" w:cs="宋体"/>
                <w:kern w:val="0"/>
                <w:szCs w:val="21"/>
                <w:highlight w:val="none"/>
              </w:rPr>
            </w:pPr>
            <w:r>
              <w:rPr>
                <w:rFonts w:hint="eastAsia" w:ascii="宋体" w:hAnsi="宋体" w:cs="宋体"/>
                <w:kern w:val="0"/>
                <w:szCs w:val="21"/>
                <w:highlight w:val="none"/>
              </w:rPr>
              <w:t>1</w:t>
            </w:r>
          </w:p>
        </w:tc>
      </w:tr>
      <w:tr w14:paraId="0A86E024">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2C3FBDBD">
            <w:pPr>
              <w:widowControl/>
              <w:jc w:val="center"/>
              <w:rPr>
                <w:rFonts w:ascii="宋体" w:hAnsi="宋体"/>
                <w:b/>
                <w:bCs/>
                <w:color w:val="000000"/>
                <w:szCs w:val="21"/>
                <w:highlight w:val="none"/>
              </w:rPr>
            </w:pPr>
            <w:r>
              <w:rPr>
                <w:rFonts w:ascii="宋体" w:hAnsi="宋体"/>
                <w:b/>
                <w:bCs/>
                <w:color w:val="000000"/>
                <w:szCs w:val="21"/>
                <w:highlight w:val="none"/>
              </w:rPr>
              <w:t>2</w:t>
            </w:r>
          </w:p>
        </w:tc>
        <w:tc>
          <w:tcPr>
            <w:tcW w:w="4996" w:type="dxa"/>
            <w:tcBorders>
              <w:top w:val="single" w:color="auto" w:sz="4" w:space="0"/>
              <w:left w:val="single" w:color="auto" w:sz="4" w:space="0"/>
              <w:bottom w:val="single" w:color="auto" w:sz="4" w:space="0"/>
              <w:right w:val="single" w:color="auto" w:sz="4" w:space="0"/>
            </w:tcBorders>
            <w:noWrap/>
            <w:vAlign w:val="center"/>
          </w:tcPr>
          <w:p w14:paraId="1BB67759">
            <w:pPr>
              <w:widowControl/>
              <w:jc w:val="center"/>
              <w:rPr>
                <w:rFonts w:ascii="宋体" w:hAnsi="宋体"/>
                <w:color w:val="000000"/>
                <w:szCs w:val="21"/>
                <w:highlight w:val="none"/>
              </w:rPr>
            </w:pPr>
            <w:r>
              <w:rPr>
                <w:rFonts w:hint="eastAsia" w:ascii="宋体" w:hAnsi="宋体" w:eastAsia="宋体" w:cs="Times New Roman"/>
                <w:color w:val="000000"/>
                <w:szCs w:val="21"/>
                <w:highlight w:val="none"/>
              </w:rPr>
              <w:t>2㎜铝板+工程反光膜+刻字（画面为国标禁止攀爬，尺寸</w:t>
            </w:r>
            <w:r>
              <w:rPr>
                <w:rFonts w:hint="eastAsia" w:ascii="宋体" w:hAnsi="宋体" w:eastAsia="宋体" w:cs="Times New Roman"/>
                <w:color w:val="000000"/>
                <w:szCs w:val="21"/>
                <w:highlight w:val="none"/>
                <w:lang w:val="en-US" w:eastAsia="zh-CN"/>
              </w:rPr>
              <w:t>大小</w:t>
            </w:r>
            <w:r>
              <w:rPr>
                <w:rFonts w:hint="eastAsia" w:ascii="宋体" w:hAnsi="宋体" w:eastAsia="宋体" w:cs="Times New Roman"/>
                <w:color w:val="000000"/>
                <w:szCs w:val="21"/>
                <w:highlight w:val="none"/>
              </w:rPr>
              <w:t>为A4）</w:t>
            </w:r>
          </w:p>
        </w:tc>
        <w:tc>
          <w:tcPr>
            <w:tcW w:w="834" w:type="dxa"/>
            <w:tcBorders>
              <w:top w:val="single" w:color="auto" w:sz="4" w:space="0"/>
              <w:left w:val="nil"/>
              <w:bottom w:val="single" w:color="auto" w:sz="4" w:space="0"/>
              <w:right w:val="single" w:color="auto" w:sz="4" w:space="0"/>
            </w:tcBorders>
            <w:vAlign w:val="center"/>
          </w:tcPr>
          <w:p w14:paraId="51688D72">
            <w:pPr>
              <w:widowControl/>
              <w:jc w:val="center"/>
              <w:rPr>
                <w:rFonts w:ascii="宋体" w:hAnsi="宋体" w:cs="宋体"/>
                <w:kern w:val="0"/>
                <w:szCs w:val="21"/>
                <w:highlight w:val="none"/>
              </w:rPr>
            </w:pPr>
            <w:r>
              <w:rPr>
                <w:rFonts w:hint="eastAsia" w:ascii="宋体" w:hAnsi="宋体" w:cs="宋体"/>
                <w:kern w:val="0"/>
                <w:szCs w:val="21"/>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4A475727">
            <w:pPr>
              <w:widowControl/>
              <w:jc w:val="center"/>
              <w:rPr>
                <w:rFonts w:ascii="宋体" w:hAnsi="宋体" w:cs="宋体"/>
                <w:kern w:val="0"/>
                <w:szCs w:val="21"/>
                <w:highlight w:val="none"/>
              </w:rPr>
            </w:pPr>
            <w:r>
              <w:rPr>
                <w:rFonts w:hint="eastAsia" w:ascii="宋体" w:hAnsi="宋体" w:cs="宋体"/>
                <w:kern w:val="0"/>
                <w:szCs w:val="21"/>
                <w:highlight w:val="none"/>
              </w:rPr>
              <w:t>1</w:t>
            </w:r>
          </w:p>
        </w:tc>
      </w:tr>
      <w:tr w14:paraId="3CCA61C6">
        <w:tblPrEx>
          <w:tblCellMar>
            <w:top w:w="0" w:type="dxa"/>
            <w:left w:w="108" w:type="dxa"/>
            <w:bottom w:w="0" w:type="dxa"/>
            <w:right w:w="108" w:type="dxa"/>
          </w:tblCellMar>
        </w:tblPrEx>
        <w:trPr>
          <w:trHeight w:val="567" w:hRule="atLeast"/>
          <w:jc w:val="center"/>
        </w:trPr>
        <w:tc>
          <w:tcPr>
            <w:tcW w:w="782" w:type="dxa"/>
            <w:tcBorders>
              <w:top w:val="single" w:color="auto" w:sz="4" w:space="0"/>
              <w:left w:val="single" w:color="auto" w:sz="4" w:space="0"/>
              <w:bottom w:val="single" w:color="auto" w:sz="4" w:space="0"/>
              <w:right w:val="single" w:color="auto" w:sz="4" w:space="0"/>
            </w:tcBorders>
            <w:vAlign w:val="center"/>
          </w:tcPr>
          <w:p w14:paraId="5B97C649">
            <w:pPr>
              <w:widowControl/>
              <w:jc w:val="center"/>
              <w:rPr>
                <w:rFonts w:ascii="宋体" w:hAnsi="宋体"/>
                <w:b/>
                <w:bCs/>
                <w:color w:val="000000"/>
                <w:szCs w:val="21"/>
                <w:highlight w:val="none"/>
              </w:rPr>
            </w:pPr>
            <w:r>
              <w:rPr>
                <w:rFonts w:ascii="宋体" w:hAnsi="宋体"/>
                <w:b/>
                <w:bCs/>
                <w:color w:val="000000"/>
                <w:szCs w:val="21"/>
                <w:highlight w:val="none"/>
              </w:rPr>
              <w:t>3</w:t>
            </w:r>
          </w:p>
        </w:tc>
        <w:tc>
          <w:tcPr>
            <w:tcW w:w="4996" w:type="dxa"/>
            <w:tcBorders>
              <w:top w:val="single" w:color="auto" w:sz="4" w:space="0"/>
              <w:left w:val="single" w:color="auto" w:sz="4" w:space="0"/>
              <w:bottom w:val="single" w:color="auto" w:sz="4" w:space="0"/>
              <w:right w:val="single" w:color="auto" w:sz="4" w:space="0"/>
            </w:tcBorders>
            <w:noWrap/>
            <w:vAlign w:val="center"/>
          </w:tcPr>
          <w:p w14:paraId="266AE00F">
            <w:pPr>
              <w:widowControl/>
              <w:jc w:val="center"/>
              <w:rPr>
                <w:rFonts w:ascii="宋体" w:hAnsi="宋体" w:cs="宋体"/>
                <w:color w:val="000000"/>
                <w:kern w:val="0"/>
                <w:szCs w:val="21"/>
                <w:highlight w:val="none"/>
              </w:rPr>
            </w:pPr>
            <w:r>
              <w:rPr>
                <w:rFonts w:hint="eastAsia" w:ascii="宋体" w:hAnsi="宋体"/>
                <w:color w:val="000000"/>
                <w:szCs w:val="21"/>
                <w:highlight w:val="none"/>
              </w:rPr>
              <w:t>画面+保护膜+5㎜PVC底板+5㎜透明亚克力倒斜边（班组管理看板，画面自行设计，尺寸</w:t>
            </w:r>
            <w:r>
              <w:rPr>
                <w:rFonts w:hint="eastAsia" w:ascii="宋体" w:hAnsi="宋体"/>
                <w:color w:val="000000"/>
                <w:szCs w:val="21"/>
                <w:highlight w:val="none"/>
                <w:lang w:val="en-US" w:eastAsia="zh-CN"/>
              </w:rPr>
              <w:t>大小</w:t>
            </w:r>
            <w:r>
              <w:rPr>
                <w:rFonts w:hint="eastAsia" w:ascii="宋体" w:hAnsi="宋体"/>
                <w:color w:val="000000"/>
                <w:szCs w:val="21"/>
                <w:highlight w:val="none"/>
              </w:rPr>
              <w:t>为A4）</w:t>
            </w:r>
          </w:p>
        </w:tc>
        <w:tc>
          <w:tcPr>
            <w:tcW w:w="834" w:type="dxa"/>
            <w:tcBorders>
              <w:top w:val="single" w:color="auto" w:sz="4" w:space="0"/>
              <w:left w:val="nil"/>
              <w:bottom w:val="single" w:color="auto" w:sz="4" w:space="0"/>
              <w:right w:val="single" w:color="auto" w:sz="4" w:space="0"/>
            </w:tcBorders>
            <w:vAlign w:val="center"/>
          </w:tcPr>
          <w:p w14:paraId="0E073E71">
            <w:pPr>
              <w:widowControl/>
              <w:jc w:val="center"/>
              <w:rPr>
                <w:rFonts w:ascii="宋体" w:hAnsi="宋体" w:cs="宋体"/>
                <w:kern w:val="0"/>
                <w:szCs w:val="21"/>
                <w:highlight w:val="none"/>
              </w:rPr>
            </w:pPr>
            <w:r>
              <w:rPr>
                <w:rFonts w:hint="eastAsia" w:ascii="宋体" w:hAnsi="宋体" w:cs="宋体"/>
                <w:kern w:val="0"/>
                <w:szCs w:val="21"/>
                <w:highlight w:val="none"/>
              </w:rPr>
              <w:t>个</w:t>
            </w:r>
          </w:p>
        </w:tc>
        <w:tc>
          <w:tcPr>
            <w:tcW w:w="1410" w:type="dxa"/>
            <w:tcBorders>
              <w:top w:val="single" w:color="auto" w:sz="4" w:space="0"/>
              <w:left w:val="single" w:color="auto" w:sz="4" w:space="0"/>
              <w:bottom w:val="single" w:color="auto" w:sz="4" w:space="0"/>
              <w:right w:val="single" w:color="auto" w:sz="4" w:space="0"/>
            </w:tcBorders>
            <w:noWrap/>
            <w:vAlign w:val="center"/>
          </w:tcPr>
          <w:p w14:paraId="7D4188CF">
            <w:pPr>
              <w:widowControl/>
              <w:jc w:val="center"/>
              <w:rPr>
                <w:rFonts w:ascii="宋体" w:hAnsi="宋体" w:cs="宋体"/>
                <w:kern w:val="0"/>
                <w:szCs w:val="21"/>
                <w:highlight w:val="none"/>
              </w:rPr>
            </w:pPr>
            <w:r>
              <w:rPr>
                <w:rFonts w:hint="eastAsia" w:ascii="宋体" w:hAnsi="宋体" w:cs="宋体"/>
                <w:kern w:val="0"/>
                <w:szCs w:val="21"/>
                <w:highlight w:val="none"/>
              </w:rPr>
              <w:t>1</w:t>
            </w:r>
          </w:p>
        </w:tc>
      </w:tr>
    </w:tbl>
    <w:p w14:paraId="517C7347">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4.商务标评审（</w:t>
      </w:r>
      <w:r>
        <w:rPr>
          <w:rFonts w:hint="eastAsia" w:ascii="宋体" w:hAnsi="宋体" w:cs="宋体"/>
          <w:b/>
          <w:bCs/>
          <w:color w:val="000000"/>
          <w:szCs w:val="21"/>
          <w:highlight w:val="none"/>
          <w:lang w:val="en-US" w:eastAsia="zh-CN"/>
        </w:rPr>
        <w:t>6</w:t>
      </w:r>
      <w:r>
        <w:rPr>
          <w:rFonts w:hint="eastAsia" w:ascii="宋体" w:hAnsi="宋体" w:cs="宋体"/>
          <w:b/>
          <w:bCs/>
          <w:color w:val="000000"/>
          <w:szCs w:val="21"/>
          <w:highlight w:val="none"/>
        </w:rPr>
        <w:t>0分）</w:t>
      </w:r>
    </w:p>
    <w:tbl>
      <w:tblPr>
        <w:tblStyle w:val="19"/>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73F1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211E98A7">
            <w:pPr>
              <w:jc w:val="center"/>
              <w:rPr>
                <w:rFonts w:ascii="宋体" w:hAnsi="宋体" w:cs="宋体"/>
                <w:szCs w:val="21"/>
                <w:highlight w:val="none"/>
              </w:rPr>
            </w:pPr>
            <w:r>
              <w:rPr>
                <w:rFonts w:hint="eastAsia" w:ascii="宋体" w:hAnsi="宋体" w:cs="宋体"/>
                <w:szCs w:val="21"/>
                <w:highlight w:val="none"/>
              </w:rPr>
              <w:t>序号</w:t>
            </w:r>
          </w:p>
        </w:tc>
        <w:tc>
          <w:tcPr>
            <w:tcW w:w="1065" w:type="dxa"/>
            <w:vAlign w:val="center"/>
          </w:tcPr>
          <w:p w14:paraId="4E0583E3">
            <w:pPr>
              <w:jc w:val="center"/>
              <w:rPr>
                <w:rFonts w:ascii="宋体" w:hAnsi="宋体" w:cs="宋体"/>
                <w:szCs w:val="21"/>
                <w:highlight w:val="none"/>
              </w:rPr>
            </w:pPr>
            <w:r>
              <w:rPr>
                <w:rFonts w:hint="eastAsia" w:ascii="宋体" w:hAnsi="宋体" w:cs="宋体"/>
                <w:szCs w:val="21"/>
                <w:highlight w:val="none"/>
              </w:rPr>
              <w:t>评分因素</w:t>
            </w:r>
          </w:p>
        </w:tc>
        <w:tc>
          <w:tcPr>
            <w:tcW w:w="810" w:type="dxa"/>
            <w:vAlign w:val="center"/>
          </w:tcPr>
          <w:p w14:paraId="23968E93">
            <w:pPr>
              <w:jc w:val="center"/>
              <w:rPr>
                <w:rFonts w:ascii="宋体" w:hAnsi="宋体" w:cs="宋体"/>
                <w:szCs w:val="21"/>
                <w:highlight w:val="none"/>
              </w:rPr>
            </w:pPr>
            <w:r>
              <w:rPr>
                <w:rFonts w:hint="eastAsia" w:ascii="宋体" w:hAnsi="宋体" w:cs="宋体"/>
                <w:szCs w:val="21"/>
                <w:highlight w:val="none"/>
              </w:rPr>
              <w:t>分值</w:t>
            </w:r>
          </w:p>
        </w:tc>
        <w:tc>
          <w:tcPr>
            <w:tcW w:w="7181" w:type="dxa"/>
            <w:vAlign w:val="center"/>
          </w:tcPr>
          <w:p w14:paraId="604FBDE8">
            <w:pPr>
              <w:jc w:val="center"/>
              <w:rPr>
                <w:rFonts w:ascii="宋体" w:hAnsi="宋体" w:cs="宋体"/>
                <w:szCs w:val="21"/>
                <w:highlight w:val="none"/>
              </w:rPr>
            </w:pPr>
            <w:r>
              <w:rPr>
                <w:rFonts w:hint="eastAsia" w:ascii="宋体" w:hAnsi="宋体" w:cs="宋体"/>
                <w:szCs w:val="21"/>
                <w:highlight w:val="none"/>
              </w:rPr>
              <w:t>评审细则</w:t>
            </w:r>
          </w:p>
        </w:tc>
      </w:tr>
      <w:tr w14:paraId="11C1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3E2E7358">
            <w:pPr>
              <w:jc w:val="center"/>
              <w:rPr>
                <w:rFonts w:ascii="宋体" w:hAnsi="宋体" w:cs="宋体"/>
                <w:szCs w:val="21"/>
                <w:highlight w:val="none"/>
              </w:rPr>
            </w:pPr>
            <w:r>
              <w:rPr>
                <w:rFonts w:hint="eastAsia" w:ascii="宋体" w:hAnsi="宋体" w:cs="宋体"/>
                <w:szCs w:val="21"/>
                <w:highlight w:val="none"/>
              </w:rPr>
              <w:t>1</w:t>
            </w:r>
          </w:p>
        </w:tc>
        <w:tc>
          <w:tcPr>
            <w:tcW w:w="1065" w:type="dxa"/>
            <w:vAlign w:val="center"/>
          </w:tcPr>
          <w:p w14:paraId="07ABC253">
            <w:pPr>
              <w:spacing w:line="240" w:lineRule="auto"/>
              <w:jc w:val="center"/>
              <w:rPr>
                <w:rFonts w:ascii="宋体" w:hAnsi="宋体" w:cs="宋体"/>
                <w:szCs w:val="21"/>
                <w:highlight w:val="none"/>
              </w:rPr>
            </w:pPr>
            <w:r>
              <w:rPr>
                <w:rFonts w:hint="eastAsia" w:ascii="宋体" w:hAnsi="宋体" w:cs="宋体"/>
                <w:szCs w:val="21"/>
                <w:highlight w:val="none"/>
              </w:rPr>
              <w:t>投标报价</w:t>
            </w:r>
          </w:p>
        </w:tc>
        <w:tc>
          <w:tcPr>
            <w:tcW w:w="810" w:type="dxa"/>
            <w:vAlign w:val="center"/>
          </w:tcPr>
          <w:p w14:paraId="151F9D42">
            <w:pPr>
              <w:spacing w:line="240" w:lineRule="auto"/>
              <w:jc w:val="center"/>
              <w:rPr>
                <w:rFonts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0分</w:t>
            </w:r>
          </w:p>
        </w:tc>
        <w:tc>
          <w:tcPr>
            <w:tcW w:w="7181" w:type="dxa"/>
            <w:vAlign w:val="center"/>
          </w:tcPr>
          <w:p w14:paraId="409FA79A">
            <w:pPr>
              <w:pStyle w:val="5"/>
              <w:spacing w:after="0" w:line="240" w:lineRule="auto"/>
              <w:ind w:left="0" w:leftChars="0" w:firstLine="0" w:firstLineChars="0"/>
              <w:jc w:val="left"/>
              <w:rPr>
                <w:rFonts w:ascii="宋体" w:hAnsi="宋体" w:cs="宋体"/>
                <w:highlight w:val="none"/>
              </w:rPr>
            </w:pPr>
            <w:r>
              <w:rPr>
                <w:rFonts w:hint="eastAsia" w:ascii="宋体" w:hAnsi="宋体" w:cs="宋体"/>
                <w:highlight w:val="none"/>
              </w:rPr>
              <w:t>1.评标基准价=所有通过商务标评审的有效投标人的最低报价；其得分为满分；</w:t>
            </w:r>
          </w:p>
          <w:p w14:paraId="718633B4">
            <w:pPr>
              <w:pStyle w:val="5"/>
              <w:spacing w:after="0" w:line="240" w:lineRule="auto"/>
              <w:ind w:left="0" w:leftChars="0" w:firstLine="0" w:firstLineChars="0"/>
              <w:jc w:val="left"/>
              <w:rPr>
                <w:rFonts w:ascii="宋体" w:hAnsi="宋体" w:cs="宋体"/>
                <w:highlight w:val="none"/>
              </w:rPr>
            </w:pPr>
            <w:r>
              <w:rPr>
                <w:rFonts w:hint="eastAsia" w:ascii="宋体" w:hAnsi="宋体" w:cs="宋体"/>
                <w:highlight w:val="none"/>
              </w:rPr>
              <w:t>2.其它报价得分=评标基准价/投标报价*</w:t>
            </w:r>
            <w:r>
              <w:rPr>
                <w:rFonts w:hint="eastAsia" w:ascii="宋体" w:hAnsi="宋体" w:cs="宋体"/>
                <w:highlight w:val="none"/>
                <w:lang w:val="en-US" w:eastAsia="zh-CN"/>
              </w:rPr>
              <w:t>6</w:t>
            </w:r>
            <w:r>
              <w:rPr>
                <w:rFonts w:hint="eastAsia" w:ascii="宋体" w:hAnsi="宋体" w:cs="宋体"/>
                <w:highlight w:val="none"/>
              </w:rPr>
              <w:t>0分，小数点后保留二位小数，第三位四舍五入；</w:t>
            </w:r>
          </w:p>
          <w:p w14:paraId="3E1D7C5A">
            <w:pPr>
              <w:pStyle w:val="5"/>
              <w:spacing w:after="0" w:line="240" w:lineRule="auto"/>
              <w:ind w:left="0" w:leftChars="0" w:firstLine="0" w:firstLineChars="0"/>
              <w:jc w:val="left"/>
              <w:rPr>
                <w:rFonts w:ascii="宋体" w:hAnsi="宋体" w:cs="宋体"/>
                <w:highlight w:val="none"/>
              </w:rPr>
            </w:pPr>
            <w:r>
              <w:rPr>
                <w:rFonts w:hint="eastAsia" w:ascii="宋体" w:hAnsi="宋体" w:cs="宋体"/>
                <w:highlight w:val="none"/>
              </w:rPr>
              <w:t>3.本项分值由评标委员会负责组织计算。</w:t>
            </w:r>
          </w:p>
        </w:tc>
      </w:tr>
    </w:tbl>
    <w:p w14:paraId="0F45E60F">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商务标评审表注：</w:t>
      </w:r>
    </w:p>
    <w:p w14:paraId="2C3C4704">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1.本表所称投标报价是指按招标文件规定修正后的投标总报价（多算投标报价、多报费用不扣减）。</w:t>
      </w:r>
    </w:p>
    <w:p w14:paraId="1967F9E1">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2.评标办法中的评标基准价计算出来后，除数字计算错误外，其他情况均不再调整。</w:t>
      </w:r>
    </w:p>
    <w:p w14:paraId="6E8AC67C">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5.</w:t>
      </w:r>
      <w:bookmarkEnd w:id="77"/>
      <w:r>
        <w:rPr>
          <w:rFonts w:hint="eastAsia" w:ascii="宋体" w:hAnsi="宋体" w:cs="宋体"/>
          <w:b/>
          <w:bCs/>
          <w:color w:val="000000"/>
          <w:szCs w:val="21"/>
          <w:highlight w:val="none"/>
        </w:rPr>
        <w:t>评标办法</w:t>
      </w:r>
    </w:p>
    <w:p w14:paraId="6CB0285B">
      <w:pPr>
        <w:adjustRightInd w:val="0"/>
        <w:snapToGrid w:val="0"/>
        <w:spacing w:line="420" w:lineRule="exact"/>
        <w:ind w:firstLine="315" w:firstLineChars="150"/>
        <w:rPr>
          <w:rFonts w:hint="eastAsia" w:ascii="宋体" w:hAnsi="宋体" w:cs="宋体"/>
          <w:color w:val="000000"/>
          <w:szCs w:val="21"/>
          <w:highlight w:val="none"/>
          <w:lang w:val="en-US" w:eastAsia="zh-CN"/>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由评标委员会主任委员或招标人随机抽取确定排名。</w:t>
      </w:r>
      <w:bookmarkStart w:id="78" w:name="_Toc362983802"/>
      <w:bookmarkStart w:id="79" w:name="_Toc58430318"/>
      <w:bookmarkStart w:id="80" w:name="_Toc449028878"/>
      <w:bookmarkStart w:id="81" w:name="_Toc267320058"/>
      <w:bookmarkStart w:id="82" w:name="_Toc363135205"/>
      <w:r>
        <w:rPr>
          <w:rFonts w:hint="eastAsia" w:ascii="宋体" w:hAnsi="宋体" w:cs="宋体"/>
          <w:color w:val="000000"/>
          <w:szCs w:val="21"/>
          <w:highlight w:val="none"/>
          <w:lang w:val="en-US" w:eastAsia="zh-CN"/>
        </w:rPr>
        <w:t xml:space="preserve"> </w:t>
      </w:r>
    </w:p>
    <w:p w14:paraId="6D20141F">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6.评标委员会的职责</w:t>
      </w:r>
    </w:p>
    <w:p w14:paraId="6E6D3409">
      <w:pPr>
        <w:spacing w:line="440" w:lineRule="exact"/>
        <w:ind w:firstLine="315" w:firstLineChars="150"/>
        <w:jc w:val="left"/>
        <w:rPr>
          <w:rFonts w:ascii="宋体" w:hAnsi="宋体" w:eastAsia="宋体" w:cs="宋体"/>
          <w:color w:val="000000"/>
          <w:highlight w:val="none"/>
        </w:rPr>
      </w:pPr>
      <w:r>
        <w:rPr>
          <w:rFonts w:hint="eastAsia" w:ascii="宋体" w:hAnsi="宋体" w:eastAsia="宋体" w:cs="宋体"/>
          <w:color w:val="000000"/>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4EB42D16">
      <w:pPr>
        <w:spacing w:line="440" w:lineRule="exact"/>
        <w:ind w:firstLine="315" w:firstLineChars="150"/>
        <w:jc w:val="left"/>
        <w:rPr>
          <w:rFonts w:ascii="Times New Roman" w:hAnsi="Times New Roman" w:eastAsia="宋体" w:cs="Times New Roman"/>
          <w:color w:val="000000"/>
          <w:highlight w:val="none"/>
        </w:rPr>
      </w:pPr>
      <w:r>
        <w:rPr>
          <w:rFonts w:hint="eastAsia" w:ascii="宋体" w:hAnsi="宋体" w:eastAsia="宋体" w:cs="宋体"/>
          <w:color w:val="000000"/>
          <w:highlight w:val="none"/>
        </w:rPr>
        <w:t>6.2评标委员会应加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2DAE3023">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7.评标程序</w:t>
      </w:r>
    </w:p>
    <w:p w14:paraId="46565B7B">
      <w:pPr>
        <w:spacing w:line="440" w:lineRule="exact"/>
        <w:ind w:firstLine="315" w:firstLineChars="150"/>
        <w:jc w:val="left"/>
        <w:rPr>
          <w:rFonts w:ascii="宋体" w:hAnsi="宋体" w:eastAsia="宋体" w:cs="宋体"/>
          <w:color w:val="000000"/>
          <w:highlight w:val="none"/>
        </w:rPr>
      </w:pPr>
      <w:bookmarkStart w:id="83" w:name="_Toc95223402"/>
      <w:r>
        <w:rPr>
          <w:rFonts w:hint="eastAsia" w:ascii="宋体" w:hAnsi="宋体"/>
          <w:color w:val="000000"/>
          <w:szCs w:val="21"/>
          <w:highlight w:val="none"/>
        </w:rPr>
        <w:t>评标先做准备工作，再进行资格、技术标评审，然后进行商务标评审。</w:t>
      </w:r>
      <w:bookmarkEnd w:id="83"/>
    </w:p>
    <w:p w14:paraId="5414A587">
      <w:pPr>
        <w:spacing w:line="440" w:lineRule="exact"/>
        <w:ind w:firstLine="315" w:firstLineChars="150"/>
        <w:jc w:val="left"/>
        <w:rPr>
          <w:rFonts w:ascii="宋体" w:hAnsi="宋体" w:cs="宋体"/>
          <w:color w:val="000000"/>
          <w:highlight w:val="none"/>
        </w:rPr>
      </w:pPr>
      <w:bookmarkStart w:id="84" w:name="_Toc60061500"/>
      <w:bookmarkStart w:id="85" w:name="_Toc15058917"/>
      <w:r>
        <w:rPr>
          <w:rFonts w:hint="eastAsia" w:ascii="宋体" w:hAnsi="宋体" w:cs="宋体"/>
          <w:color w:val="000000"/>
          <w:highlight w:val="none"/>
        </w:rPr>
        <w:t>7.1评标准备工作</w:t>
      </w:r>
    </w:p>
    <w:p w14:paraId="1937BBF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评标委员会熟悉评标工作情况：</w:t>
      </w:r>
    </w:p>
    <w:p w14:paraId="593E2E8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（1）阅读由招标人或者其委</w:t>
      </w:r>
      <w:bookmarkStart w:id="86" w:name="_Toc60061499"/>
      <w:bookmarkStart w:id="87" w:name="_Toc15058916"/>
      <w:r>
        <w:rPr>
          <w:rFonts w:hint="eastAsia" w:ascii="宋体" w:hAnsi="宋体" w:cs="宋体"/>
          <w:color w:val="000000"/>
          <w:highlight w:val="none"/>
        </w:rPr>
        <w:t>托的代理机构编</w:t>
      </w:r>
      <w:bookmarkEnd w:id="86"/>
      <w:bookmarkEnd w:id="87"/>
      <w:r>
        <w:rPr>
          <w:rFonts w:hint="eastAsia" w:ascii="宋体" w:hAnsi="宋体" w:cs="宋体"/>
          <w:color w:val="000000"/>
          <w:highlight w:val="none"/>
        </w:rPr>
        <w:t>制的招标项目情况材料。</w:t>
      </w:r>
    </w:p>
    <w:p w14:paraId="55B41B7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5C21EEE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14:paraId="7073E49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（4）核对评标工作用表。</w:t>
      </w:r>
    </w:p>
    <w:bookmarkEnd w:id="84"/>
    <w:bookmarkEnd w:id="85"/>
    <w:p w14:paraId="72220FB8">
      <w:pPr>
        <w:spacing w:line="440" w:lineRule="exact"/>
        <w:ind w:firstLine="315" w:firstLineChars="150"/>
        <w:jc w:val="left"/>
        <w:rPr>
          <w:rFonts w:ascii="宋体" w:hAnsi="宋体" w:cs="宋体"/>
          <w:color w:val="000000"/>
          <w:highlight w:val="none"/>
        </w:rPr>
      </w:pPr>
      <w:bookmarkStart w:id="88" w:name="_Toc95223405"/>
      <w:r>
        <w:rPr>
          <w:rFonts w:hint="eastAsia" w:ascii="宋体" w:hAnsi="宋体" w:cs="宋体"/>
          <w:color w:val="000000"/>
          <w:highlight w:val="none"/>
        </w:rPr>
        <w:t>7.2推荐中标候选人</w:t>
      </w:r>
    </w:p>
    <w:p w14:paraId="0A492A2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资信评审、技术标评审、商务标评审后，推荐中标候选人，并标明排序。</w:t>
      </w:r>
    </w:p>
    <w:p w14:paraId="104D983E">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8.评审内容</w:t>
      </w:r>
      <w:bookmarkEnd w:id="88"/>
    </w:p>
    <w:bookmarkEnd w:id="78"/>
    <w:bookmarkEnd w:id="79"/>
    <w:bookmarkEnd w:id="80"/>
    <w:bookmarkEnd w:id="81"/>
    <w:p w14:paraId="4DC63D32">
      <w:pPr>
        <w:spacing w:line="440" w:lineRule="exact"/>
        <w:ind w:firstLine="315" w:firstLineChars="150"/>
        <w:jc w:val="left"/>
        <w:rPr>
          <w:rFonts w:ascii="宋体" w:hAnsi="宋体" w:cs="宋体"/>
          <w:color w:val="000000"/>
          <w:highlight w:val="none"/>
        </w:rPr>
      </w:pPr>
      <w:bookmarkStart w:id="89" w:name="_Hlk61815781"/>
      <w:r>
        <w:rPr>
          <w:rFonts w:hint="eastAsia" w:ascii="宋体" w:hAnsi="宋体" w:cs="宋体"/>
          <w:color w:val="000000"/>
          <w:highlight w:val="none"/>
        </w:rPr>
        <w:t>8.1详细评审标准：见资信标、技术标和商务标评审表。</w:t>
      </w:r>
    </w:p>
    <w:p w14:paraId="63FE327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8.2评标委员会审查投标文件，看其是否有计算或表达上的错误，投标报价有错误的，评标委员会按以下原则对投标报价进行修正。</w:t>
      </w:r>
    </w:p>
    <w:p w14:paraId="06ED4FF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（1）投标文件中的大写金额与小写金额不一致的，以大写金额为准。</w:t>
      </w:r>
    </w:p>
    <w:p w14:paraId="4DD1415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（2）总价金额与依据单价计算出的结果不一致的，以单价金额为准修正总价，但单价金额小数点有明显错误的除外。</w:t>
      </w:r>
    </w:p>
    <w:p w14:paraId="5994C90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58B0FFC8">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9.无效投标条款</w:t>
      </w:r>
    </w:p>
    <w:p w14:paraId="785304D0">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9.1投标人存在下列情形的招标人将拒收投标文件：</w:t>
      </w:r>
    </w:p>
    <w:p w14:paraId="34FA5DB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 未在投标截止时间前通过电子邮箱递交有效电子投标文件的，投标将被拒绝。</w:t>
      </w:r>
    </w:p>
    <w:p w14:paraId="4E7962E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9.2其他无效投标情况：</w:t>
      </w:r>
    </w:p>
    <w:p w14:paraId="0EF5CCD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69F964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（2）调整或修正投标文件的投标报价，调整或修正的价格经投标人书面确认后具有约束力。投标人不接受修正价格的，其投标将被拒绝。</w:t>
      </w:r>
    </w:p>
    <w:p w14:paraId="3721084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（3）投标人有串通投标、视为串通投标、弄虚作假、行贿等违法行为。</w:t>
      </w:r>
    </w:p>
    <w:p w14:paraId="7E583F7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（4）投标文件没有对招标文件的实质性要求和条件作出响应。</w:t>
      </w:r>
    </w:p>
    <w:p w14:paraId="3D6A0C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（5）未按规定的格式填写导致实质性内容不全以及实质上不响应，或者关键字迹模糊、无法辨认。</w:t>
      </w:r>
    </w:p>
    <w:p w14:paraId="7C73D80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（6）同一投标人提交两个以上不同的投标文件或者投标报价，但招标文件规定提交备选投标的除外。</w:t>
      </w:r>
    </w:p>
    <w:p w14:paraId="7F3AEFD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（7）投标文件中存在招标人不能接受的其他实质性条件。</w:t>
      </w:r>
    </w:p>
    <w:p w14:paraId="345B4E4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（8）投标人拒不按照要求对投标文件进行澄清、说明、补正的，或评标委员会根据招标文件的规定对招标文件的计算错误进行修正后，投标人不接受修正的投标报价的。</w:t>
      </w:r>
    </w:p>
    <w:p w14:paraId="09A4388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（9）投标人单方面出现其他投标人材料。</w:t>
      </w:r>
    </w:p>
    <w:p w14:paraId="174FC5F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（10）法律、法规规定的其他情形。</w:t>
      </w:r>
    </w:p>
    <w:bookmarkEnd w:id="82"/>
    <w:bookmarkEnd w:id="89"/>
    <w:p w14:paraId="7ACD3E45">
      <w:pPr>
        <w:adjustRightInd w:val="0"/>
        <w:snapToGrid w:val="0"/>
        <w:spacing w:line="420" w:lineRule="exact"/>
        <w:ind w:firstLine="315" w:firstLineChars="150"/>
        <w:rPr>
          <w:rFonts w:ascii="宋体" w:hAnsi="宋体" w:cs="宋体"/>
          <w:b/>
          <w:bCs/>
          <w:color w:val="000000"/>
          <w:szCs w:val="21"/>
          <w:highlight w:val="none"/>
        </w:rPr>
      </w:pPr>
      <w:bookmarkStart w:id="90" w:name="_Toc95223439"/>
      <w:r>
        <w:rPr>
          <w:rFonts w:hint="eastAsia" w:ascii="宋体" w:hAnsi="宋体" w:cs="宋体"/>
          <w:b/>
          <w:bCs/>
          <w:color w:val="000000"/>
          <w:szCs w:val="21"/>
          <w:highlight w:val="none"/>
        </w:rPr>
        <w:t>10.投标文件的澄清和补正</w:t>
      </w:r>
      <w:bookmarkEnd w:id="90"/>
    </w:p>
    <w:p w14:paraId="43D8D9C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11C09E2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10.2澄清、说明和补正不得改变投标文件的实质性内容（算术性错误修正的除外）。投标人的书面澄清、说明和补正属于投标文件的组成部分。</w:t>
      </w:r>
    </w:p>
    <w:p w14:paraId="5B1190C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10.3评标委员会对投标人提交的澄清、说明和补正有疑问的，可以要求投标人进一步澄清、说明或补正、直至满足评标委员会的要求。</w:t>
      </w:r>
    </w:p>
    <w:p w14:paraId="4EB78D5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按照投标文件规定进行澄清、补正后的投标报价经投标人的法定代表人或其委托代理人确认后即为该投标人的最终投标报价。投标人一旦中标，此报价即为中标价。</w:t>
      </w:r>
    </w:p>
    <w:p w14:paraId="4B69D7D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10.4评委会修正错误的原则：</w:t>
      </w:r>
    </w:p>
    <w:p w14:paraId="64F5FFC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643B43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10.4.2如果单价与数量的乘积和总价不一致，以单价为准，修正总价及开标一览表；当单价小数点有明显的错位时，评委会将以总价为准，并修正其单价。</w:t>
      </w:r>
    </w:p>
    <w:p w14:paraId="3DB99479">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2B10987A">
      <w:pPr>
        <w:adjustRightInd w:val="0"/>
        <w:snapToGrid w:val="0"/>
        <w:spacing w:line="420" w:lineRule="exact"/>
        <w:ind w:firstLine="315" w:firstLineChars="150"/>
        <w:rPr>
          <w:rFonts w:ascii="宋体" w:hAnsi="宋体" w:cs="宋体"/>
          <w:b/>
          <w:bCs/>
          <w:color w:val="000000"/>
          <w:szCs w:val="21"/>
          <w:highlight w:val="none"/>
        </w:rPr>
      </w:pPr>
      <w:bookmarkStart w:id="91" w:name="_Toc95223441"/>
      <w:r>
        <w:rPr>
          <w:rFonts w:hint="eastAsia" w:ascii="宋体" w:hAnsi="宋体" w:cs="宋体"/>
          <w:b/>
          <w:bCs/>
          <w:color w:val="000000"/>
          <w:szCs w:val="21"/>
          <w:highlight w:val="none"/>
        </w:rPr>
        <w:t>11.评审结果</w:t>
      </w:r>
      <w:bookmarkEnd w:id="91"/>
    </w:p>
    <w:p w14:paraId="4FF25252">
      <w:pPr>
        <w:spacing w:line="440" w:lineRule="exact"/>
        <w:ind w:firstLine="315" w:firstLineChars="150"/>
        <w:jc w:val="left"/>
        <w:rPr>
          <w:rFonts w:ascii="宋体" w:hAnsi="宋体" w:cs="宋体"/>
          <w:color w:val="000000"/>
          <w:highlight w:val="none"/>
        </w:rPr>
      </w:pPr>
      <w:bookmarkStart w:id="92" w:name="_Toc95223442"/>
      <w:r>
        <w:rPr>
          <w:rFonts w:hint="eastAsia" w:ascii="宋体" w:hAnsi="宋体" w:cs="宋体"/>
          <w:color w:val="000000"/>
          <w:highlight w:val="none"/>
        </w:rPr>
        <w:t>11.1评标委员会按照总得分由高到低顺序推荐中标候选人。</w:t>
      </w:r>
    </w:p>
    <w:p w14:paraId="0546AD3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11.2评标委员会完成评标后，应当向招标人提交书面评标报告。评标报告应当如实记载以下内容：</w:t>
      </w:r>
    </w:p>
    <w:p w14:paraId="609F6D7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（1）基本情况和数据表。</w:t>
      </w:r>
    </w:p>
    <w:p w14:paraId="60E183B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（2）评标委员会成员名单。</w:t>
      </w:r>
    </w:p>
    <w:p w14:paraId="30C50F2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（3）开标记录。</w:t>
      </w:r>
    </w:p>
    <w:p w14:paraId="294E1CD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（4）符合要求的投标人一览表。</w:t>
      </w:r>
    </w:p>
    <w:p w14:paraId="40416B3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（5）否决投标情况说明。</w:t>
      </w:r>
    </w:p>
    <w:p w14:paraId="4151916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（6）评标标准、评标方法或者评标因素。</w:t>
      </w:r>
    </w:p>
    <w:p w14:paraId="1BA1EE0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（7）评标情况一览表。</w:t>
      </w:r>
    </w:p>
    <w:p w14:paraId="128E7C4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（8）经评审的投标人排序。</w:t>
      </w:r>
    </w:p>
    <w:p w14:paraId="1680345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（9）推荐的中标候选人名单与签订合同前要处理的事宜。</w:t>
      </w:r>
    </w:p>
    <w:p w14:paraId="3EB4233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（10）澄清、说明、补正事项纪要。</w:t>
      </w:r>
    </w:p>
    <w:p w14:paraId="7A72393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4D08FEF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92"/>
    <w:p w14:paraId="5B3ED370">
      <w:pPr>
        <w:snapToGrid w:val="0"/>
        <w:spacing w:line="440" w:lineRule="exact"/>
        <w:ind w:firstLine="420" w:firstLineChars="200"/>
        <w:rPr>
          <w:rFonts w:ascii="宋体"/>
          <w:b/>
          <w:bCs/>
          <w:szCs w:val="21"/>
          <w:highlight w:val="none"/>
        </w:rPr>
      </w:pPr>
      <w:r>
        <w:rPr>
          <w:rFonts w:hint="eastAsia" w:ascii="宋体"/>
          <w:b/>
          <w:bCs/>
          <w:szCs w:val="21"/>
          <w:highlight w:val="none"/>
        </w:rPr>
        <w:t>12.其他</w:t>
      </w:r>
    </w:p>
    <w:p w14:paraId="27F1A4C8">
      <w:pPr>
        <w:snapToGrid w:val="0"/>
        <w:spacing w:line="440" w:lineRule="exact"/>
        <w:ind w:firstLine="420" w:firstLineChars="200"/>
        <w:rPr>
          <w:rFonts w:ascii="宋体"/>
          <w:szCs w:val="21"/>
          <w:highlight w:val="none"/>
        </w:rPr>
      </w:pPr>
      <w:r>
        <w:rPr>
          <w:rFonts w:hint="eastAsia" w:ascii="宋体"/>
          <w:szCs w:val="21"/>
          <w:highlight w:val="none"/>
        </w:rPr>
        <w:t>投标人提供的与投标文件有关的各类证书、证明、文件、资料等的真实性、合法性由投标人负全责。</w:t>
      </w:r>
    </w:p>
    <w:p w14:paraId="033B096E">
      <w:pPr>
        <w:snapToGrid w:val="0"/>
        <w:spacing w:before="156" w:beforeLines="50" w:after="156" w:afterLines="50" w:line="360" w:lineRule="auto"/>
        <w:jc w:val="center"/>
        <w:outlineLvl w:val="0"/>
        <w:rPr>
          <w:highlight w:val="none"/>
        </w:rPr>
      </w:pPr>
      <w:r>
        <w:rPr>
          <w:rFonts w:hint="eastAsia" w:ascii="宋体" w:hAnsi="宋体" w:eastAsia="宋体" w:cs="Times New Roman"/>
          <w:b/>
          <w:bCs/>
          <w:color w:val="000000"/>
          <w:kern w:val="0"/>
          <w:sz w:val="28"/>
          <w:szCs w:val="28"/>
          <w:highlight w:val="none"/>
          <w:lang w:bidi="ar"/>
        </w:rPr>
        <w:br w:type="page"/>
      </w:r>
      <w:r>
        <w:rPr>
          <w:rFonts w:hint="eastAsia" w:ascii="宋体" w:cs="宋体"/>
          <w:b/>
          <w:bCs/>
          <w:sz w:val="28"/>
          <w:szCs w:val="28"/>
          <w:highlight w:val="none"/>
        </w:rPr>
        <w:t>第五章  用户需求书</w:t>
      </w:r>
    </w:p>
    <w:p w14:paraId="2007E782">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7CD4A59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本项目为滁宁城际铁路（滁州段）标识标牌及VI现场测量、设计、制作、运输、安装和维护项目，包括滁宁城际铁路全线、控制中心、车辆段，其中导向标识的现场测量、设计、制作、运输、安装和维护工作及《运营公司VI手册》编制、更新。</w:t>
      </w:r>
    </w:p>
    <w:p w14:paraId="2908C85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1.1滁宁城际铁路（滁州段）全长46.46km，设站14座，其中地下站2座，高架站12座，预留站4座，设控制中心、车辆段各一处，在相官镇、花博园附近设置牵引变电所。</w:t>
      </w:r>
    </w:p>
    <w:p w14:paraId="712DDA8E">
      <w:pPr>
        <w:keepNext w:val="0"/>
        <w:keepLines w:val="0"/>
        <w:pageBreakBefore w:val="0"/>
        <w:kinsoku/>
        <w:wordWrap/>
        <w:overflowPunct/>
        <w:topLinePunct w:val="0"/>
        <w:autoSpaceDE/>
        <w:autoSpaceDN/>
        <w:bidi w:val="0"/>
        <w:adjustRightInd/>
        <w:snapToGrid w:val="0"/>
        <w:spacing w:line="400" w:lineRule="exact"/>
        <w:ind w:firstLine="420"/>
        <w:textAlignment w:val="auto"/>
        <w:rPr>
          <w:highlight w:val="none"/>
        </w:rPr>
      </w:pPr>
      <w:r>
        <w:rPr>
          <w:rFonts w:hint="eastAsia" w:ascii="宋体" w:hAnsi="宋体" w:eastAsia="宋体" w:cs="宋体"/>
          <w:color w:val="000000"/>
          <w:szCs w:val="21"/>
          <w:highlight w:val="none"/>
          <w:lang w:val="en-US" w:eastAsia="zh-CN"/>
        </w:rPr>
        <w:t>1.2《运营公司VI手册》更新。</w:t>
      </w:r>
    </w:p>
    <w:p w14:paraId="7AC0E766">
      <w:pPr>
        <w:snapToGrid w:val="0"/>
        <w:spacing w:line="400" w:lineRule="exact"/>
        <w:ind w:firstLine="420" w:firstLineChars="200"/>
        <w:rPr>
          <w:highlight w:val="none"/>
        </w:rPr>
      </w:pPr>
      <w:r>
        <w:rPr>
          <w:rFonts w:hint="eastAsia" w:ascii="宋体" w:hAnsi="宋体" w:cs="宋体"/>
          <w:b/>
          <w:bCs/>
          <w:color w:val="000000"/>
          <w:szCs w:val="21"/>
          <w:highlight w:val="none"/>
        </w:rPr>
        <w:t>二、采购清单</w:t>
      </w:r>
    </w:p>
    <w:tbl>
      <w:tblPr>
        <w:tblStyle w:val="19"/>
        <w:tblW w:w="5438" w:type="pct"/>
        <w:tblInd w:w="-6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8"/>
        <w:gridCol w:w="1600"/>
        <w:gridCol w:w="2885"/>
        <w:gridCol w:w="996"/>
        <w:gridCol w:w="1116"/>
        <w:gridCol w:w="1188"/>
        <w:gridCol w:w="1200"/>
        <w:gridCol w:w="729"/>
      </w:tblGrid>
      <w:tr w14:paraId="3263D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61"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5EBAF34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763"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43BDE24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1377"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76C6A60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材质工艺</w:t>
            </w:r>
          </w:p>
        </w:tc>
        <w:tc>
          <w:tcPr>
            <w:tcW w:w="1008" w:type="pct"/>
            <w:gridSpan w:val="2"/>
            <w:tcBorders>
              <w:top w:val="single" w:color="000000" w:sz="4" w:space="0"/>
              <w:left w:val="single" w:color="000000" w:sz="4" w:space="0"/>
              <w:bottom w:val="single" w:color="000000" w:sz="4" w:space="0"/>
              <w:right w:val="single" w:color="000000" w:sz="4" w:space="0"/>
            </w:tcBorders>
            <w:shd w:val="clear" w:color="auto" w:fill="D0CECE"/>
            <w:vAlign w:val="center"/>
          </w:tcPr>
          <w:p w14:paraId="5B5E5A5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尺寸(M)</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D0CECE"/>
            <w:vAlign w:val="center"/>
          </w:tcPr>
          <w:p w14:paraId="16F0AF1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面积(㎡)</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3A0C5A83">
            <w:pPr>
              <w:keepNext w:val="0"/>
              <w:keepLines w:val="0"/>
              <w:widowControl/>
              <w:suppressLineNumbers w:val="0"/>
              <w:jc w:val="center"/>
              <w:textAlignment w:val="center"/>
              <w:rPr>
                <w:rFonts w:hint="default" w:ascii="宋体" w:hAnsi="宋体" w:eastAsia="宋体" w:cs="宋体"/>
                <w:b/>
                <w:bCs/>
                <w:i w:val="0"/>
                <w:iCs w:val="0"/>
                <w:color w:val="000000"/>
                <w:sz w:val="22"/>
                <w:szCs w:val="22"/>
                <w:highlight w:val="none"/>
                <w:u w:val="none"/>
                <w:lang w:val="en-US"/>
              </w:rPr>
            </w:pPr>
            <w:r>
              <w:rPr>
                <w:rFonts w:hint="eastAsia" w:ascii="宋体" w:hAnsi="宋体" w:cs="宋体"/>
                <w:b/>
                <w:bCs/>
                <w:i w:val="0"/>
                <w:iCs w:val="0"/>
                <w:color w:val="000000"/>
                <w:kern w:val="0"/>
                <w:sz w:val="22"/>
                <w:szCs w:val="22"/>
                <w:highlight w:val="none"/>
                <w:u w:val="none"/>
                <w:lang w:val="en-US" w:eastAsia="zh-CN" w:bidi="ar"/>
              </w:rPr>
              <w:t>数量（个）</w:t>
            </w:r>
          </w:p>
        </w:tc>
        <w:tc>
          <w:tcPr>
            <w:tcW w:w="348" w:type="pct"/>
            <w:vMerge w:val="restart"/>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68ACFC2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是否安装</w:t>
            </w:r>
          </w:p>
        </w:tc>
      </w:tr>
      <w:tr w14:paraId="4A30C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61"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2DC40C09">
            <w:pPr>
              <w:jc w:val="center"/>
              <w:rPr>
                <w:rFonts w:hint="eastAsia" w:ascii="宋体" w:hAnsi="宋体" w:eastAsia="宋体" w:cs="宋体"/>
                <w:b/>
                <w:bCs/>
                <w:i w:val="0"/>
                <w:iCs w:val="0"/>
                <w:color w:val="000000"/>
                <w:sz w:val="22"/>
                <w:szCs w:val="22"/>
                <w:highlight w:val="none"/>
                <w:u w:val="none"/>
              </w:rPr>
            </w:pPr>
          </w:p>
        </w:tc>
        <w:tc>
          <w:tcPr>
            <w:tcW w:w="763"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44FFED74">
            <w:pPr>
              <w:jc w:val="center"/>
              <w:rPr>
                <w:rFonts w:hint="eastAsia" w:ascii="宋体" w:hAnsi="宋体" w:eastAsia="宋体" w:cs="宋体"/>
                <w:b/>
                <w:bCs/>
                <w:i w:val="0"/>
                <w:iCs w:val="0"/>
                <w:color w:val="000000"/>
                <w:sz w:val="22"/>
                <w:szCs w:val="22"/>
                <w:highlight w:val="none"/>
                <w:u w:val="none"/>
              </w:rPr>
            </w:pPr>
          </w:p>
        </w:tc>
        <w:tc>
          <w:tcPr>
            <w:tcW w:w="1377"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0C76E243">
            <w:pPr>
              <w:jc w:val="center"/>
              <w:rPr>
                <w:rFonts w:hint="eastAsia" w:ascii="宋体" w:hAnsi="宋体" w:eastAsia="宋体" w:cs="宋体"/>
                <w:b/>
                <w:bCs/>
                <w:i w:val="0"/>
                <w:iCs w:val="0"/>
                <w:color w:val="000000"/>
                <w:sz w:val="22"/>
                <w:szCs w:val="22"/>
                <w:highlight w:val="none"/>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6CAB7F9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长</w:t>
            </w:r>
          </w:p>
        </w:tc>
        <w:tc>
          <w:tcPr>
            <w:tcW w:w="532"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634ED2B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宽</w:t>
            </w: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D0CECE"/>
            <w:vAlign w:val="center"/>
          </w:tcPr>
          <w:p w14:paraId="18DE768C">
            <w:pPr>
              <w:jc w:val="center"/>
              <w:rPr>
                <w:rFonts w:hint="eastAsia" w:ascii="宋体" w:hAnsi="宋体" w:eastAsia="宋体" w:cs="宋体"/>
                <w:b/>
                <w:bCs/>
                <w:i w:val="0"/>
                <w:iCs w:val="0"/>
                <w:color w:val="000000"/>
                <w:sz w:val="22"/>
                <w:szCs w:val="22"/>
                <w:highlight w:val="none"/>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2A4FDB82">
            <w:pPr>
              <w:jc w:val="center"/>
              <w:rPr>
                <w:rFonts w:hint="eastAsia" w:ascii="宋体" w:hAnsi="宋体" w:eastAsia="宋体" w:cs="宋体"/>
                <w:b/>
                <w:bCs/>
                <w:i w:val="0"/>
                <w:iCs w:val="0"/>
                <w:color w:val="000000"/>
                <w:sz w:val="22"/>
                <w:szCs w:val="22"/>
                <w:highlight w:val="none"/>
                <w:u w:val="none"/>
              </w:rPr>
            </w:pPr>
          </w:p>
        </w:tc>
        <w:tc>
          <w:tcPr>
            <w:tcW w:w="348" w:type="pct"/>
            <w:vMerge w:val="continue"/>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702C5E88">
            <w:pPr>
              <w:jc w:val="center"/>
              <w:rPr>
                <w:rFonts w:hint="eastAsia" w:ascii="宋体" w:hAnsi="宋体" w:eastAsia="宋体" w:cs="宋体"/>
                <w:b/>
                <w:bCs/>
                <w:i w:val="0"/>
                <w:iCs w:val="0"/>
                <w:color w:val="000000"/>
                <w:sz w:val="22"/>
                <w:szCs w:val="22"/>
                <w:highlight w:val="none"/>
                <w:u w:val="none"/>
              </w:rPr>
            </w:pPr>
          </w:p>
        </w:tc>
      </w:tr>
      <w:tr w14:paraId="6F2FA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D6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FE3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制度框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3D5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4cm开启式铝型材+画面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F37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0.7</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4B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FF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0.7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64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2B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5E18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79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2B7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轨道示意图</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CB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8mm厚PVC展板+画面+2mm亚克力展板倒斜边</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64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35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FE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1.4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89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12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08B34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7B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4A3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工作看板</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DC6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8mm厚PVC展板+画面+2mm亚克力展板倒斜边</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41D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928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0.9</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371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85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76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F3E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BF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71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闲人免进</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21C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6B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3E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CB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0.0525</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853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FC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FC69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BE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598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消火栓使用说明</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D34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B87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8A3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F27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0.1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E2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AE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6120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6B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C76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灭火器放置点</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342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C64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BC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2AA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0B8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1D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7681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96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14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指示灯闪烁请勿上下车</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9AE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E00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6F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4F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4C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57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878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1F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A32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润滑油非危险品</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2B4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B56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12D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ACE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07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1C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2DF0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28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0B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严禁擅自进入轨行区</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B89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EB7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40D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02E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0.175</w:t>
            </w:r>
          </w:p>
        </w:tc>
        <w:tc>
          <w:tcPr>
            <w:tcW w:w="5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1E4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96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4BF1B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4F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E5F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禁止攀爬警示标识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03C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CF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2A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DB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0.165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6C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E5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5744A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C5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568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温湿度标识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5DD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38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0.095</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71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0.16</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075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0.0152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D7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63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0144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2F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05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电缆口</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3F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1A1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0B4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FF2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B8E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00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4D02D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AF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E0D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必须戴安全帽</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FB5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0F5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854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43E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1D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26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6064C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C3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D12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必须加锁</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236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6C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30C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53E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835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EB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62E4D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BF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24E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必须戴防护眼镜</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A0C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C6E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39E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0E5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7B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72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92E2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AB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72F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必须穿防护鞋</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92F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77C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11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0A1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777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FD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5F6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BA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6E3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必须戴防护手套</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8E0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7C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97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E9F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47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32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1B5F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AE6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CFB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安全管理责任牌</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B21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5mmPVC展板+UV画面+卡槽</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BBA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AC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0.148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A9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0.0311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67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05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7EE8C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370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B70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安全警示标识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2D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Style w:val="54"/>
                <w:rFonts w:hint="eastAsia" w:ascii="宋体" w:hAnsi="宋体" w:eastAsia="宋体" w:cs="宋体"/>
                <w:color w:val="auto"/>
                <w:sz w:val="22"/>
                <w:szCs w:val="22"/>
                <w:highlight w:val="none"/>
                <w:lang w:val="en-US" w:eastAsia="zh-CN" w:bidi="ar"/>
              </w:rPr>
              <w:t>耐磨防滑</w:t>
            </w:r>
            <w:r>
              <w:rPr>
                <w:rStyle w:val="55"/>
                <w:rFonts w:hint="eastAsia" w:ascii="宋体" w:hAnsi="宋体" w:eastAsia="宋体" w:cs="宋体"/>
                <w:color w:val="auto"/>
                <w:sz w:val="22"/>
                <w:szCs w:val="22"/>
                <w:highlight w:val="none"/>
                <w:lang w:val="en-US" w:eastAsia="zh-CN" w:bidi="ar"/>
              </w:rPr>
              <w:t>PVC</w:t>
            </w:r>
            <w:r>
              <w:rPr>
                <w:rStyle w:val="54"/>
                <w:rFonts w:hint="eastAsia" w:ascii="宋体" w:hAnsi="宋体" w:eastAsia="宋体" w:cs="宋体"/>
                <w:color w:val="auto"/>
                <w:sz w:val="22"/>
                <w:szCs w:val="22"/>
                <w:highlight w:val="none"/>
                <w:lang w:val="en-US" w:eastAsia="zh-CN" w:bidi="ar"/>
              </w:rPr>
              <w:t>材质反光贴膜（带背胶）</w:t>
            </w:r>
            <w:r>
              <w:rPr>
                <w:rStyle w:val="55"/>
                <w:rFonts w:hint="eastAsia" w:ascii="宋体" w:hAnsi="宋体" w:eastAsia="宋体" w:cs="宋体"/>
                <w:color w:val="auto"/>
                <w:sz w:val="22"/>
                <w:szCs w:val="22"/>
                <w:highlight w:val="none"/>
                <w:lang w:val="en-US" w:eastAsia="zh-CN" w:bidi="ar"/>
              </w:rPr>
              <w:t>(</w:t>
            </w:r>
            <w:r>
              <w:rPr>
                <w:rStyle w:val="54"/>
                <w:rFonts w:hint="eastAsia" w:ascii="宋体" w:hAnsi="宋体" w:eastAsia="宋体" w:cs="宋体"/>
                <w:color w:val="auto"/>
                <w:sz w:val="22"/>
                <w:szCs w:val="22"/>
                <w:highlight w:val="none"/>
                <w:lang w:val="en-US" w:eastAsia="zh-CN" w:bidi="ar"/>
              </w:rPr>
              <w:t>室内</w:t>
            </w:r>
            <w:r>
              <w:rPr>
                <w:rStyle w:val="55"/>
                <w:rFonts w:hint="eastAsia" w:ascii="宋体" w:hAnsi="宋体" w:eastAsia="宋体" w:cs="宋体"/>
                <w:color w:val="auto"/>
                <w:sz w:val="22"/>
                <w:szCs w:val="22"/>
                <w:highlight w:val="none"/>
                <w:lang w:val="en-US" w:eastAsia="zh-CN" w:bidi="ar"/>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11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83A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26C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32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EE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5452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BD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E18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司机名牌</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B59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免层压PVC卡+双面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BC8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0.058</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32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46C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0.0058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A61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4A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AC09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F3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4F7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禁止合闸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ABE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2mm瓷白亚克力双面UV、吊件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F4E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61E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701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0.0988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7B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DE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4538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4B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A7F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禁止分闸</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287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2mm瓷白亚克力双面UV、吊件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224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A03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8E9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0.0988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4F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B2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76DB3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23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533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红警示胶带</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07B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PVC警示胶带</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71B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027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B6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15.84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E3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13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6EB0E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1D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BA5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绿警示胶带</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8A5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PVC警示胶带</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7DA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6A1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4D3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15.84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CA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0C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1BCA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07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39AD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黄警示胶带</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35B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PVC警示胶带</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52E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E6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B29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15.84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DBD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B2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2269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6B1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354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黄黑警示胶带</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F58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PVC警示胶带</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3C8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7F1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1C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15.84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2E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64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591D5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EC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519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当心碰头</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234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9FF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C4E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020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3B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0B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7AA59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D7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F9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清扫工具存放点</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7D6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B7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F6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998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0.6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58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99</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F7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9C2F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E0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31C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消防安全重点部位</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8F1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5mmPVC展板+UV画面+卡槽</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05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CE2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732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41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6B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09C6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02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835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企业文化墙、班组文化墙、党群活动室装饰</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91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8mm厚PVC展板+画面+2mm亚克力展板（按制作图样中构件的最大外轮廓尺寸（最长 × 最宽） 计算面积，不作为实际用料量核算，投标人应综合考虑损耗、裁切等因素自主报价。）</w:t>
            </w:r>
          </w:p>
        </w:tc>
        <w:tc>
          <w:tcPr>
            <w:tcW w:w="10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BC4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按实际平方米结算</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D252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DE8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200 </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0C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70EB0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D7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E3B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绿色地标指示贴</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324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绿色，防水PVC材质，背面带不干胶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AD4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A3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2CA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DC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02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5B52E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31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191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节能标贴</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1C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A45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9A8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A1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8B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D3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3AA5D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02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3AE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桌面定位胶布</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F61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防水PVC材质，背面带不干胶，1cm*130m</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0A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28C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360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6B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15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53804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4D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0CC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起点、终点标贴</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35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7B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7A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0F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DE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F9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45A05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CA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ABD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圆形数字贴（红色1-60，直径7cm）</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F3E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36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20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AD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9C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38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6BD99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48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88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圆形数字贴（绿色1-100，直径7cm）</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A37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DB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17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A3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D7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D8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F3BC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C7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BE4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圆形数字贴（橙色1-100，直径7cm）</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C34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FD7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745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D28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8A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0A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22BEA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7A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DDF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蓝色定位标识（3*1cm）</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42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防水PVC材质，背面带不干胶，磨砂蓝L型</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F1F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C4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B5D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0.0003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10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8D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66CEF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26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96B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清洁工具标识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9E1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470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90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B01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0.06237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FB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E0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42E9E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D6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B95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三爪吸盘摆放标识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E04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975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218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BD0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0.06237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2E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ED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4FBF5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5A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7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1191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防鼠重点点位标识</w:t>
            </w:r>
          </w:p>
        </w:tc>
        <w:tc>
          <w:tcPr>
            <w:tcW w:w="1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174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4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ACE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E45F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5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71AE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0.06237</w:t>
            </w:r>
          </w:p>
        </w:tc>
        <w:tc>
          <w:tcPr>
            <w:tcW w:w="57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48C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7E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34D8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4B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50E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禁止操作</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426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双面双色板、雕刻亚克力、吊件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EDC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88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043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82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DC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03B1B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31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482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接地</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741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2mm瓷白亚克力双面UV、吊件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912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0.38</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5FC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2AE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0.0988 </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EF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19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07CDD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AD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1D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注意安全</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1CC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2mm瓷白亚克力双面UV、吊件</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3E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0.38</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D1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57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0.0988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B7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58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FB14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77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C5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当心触电</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7F7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2mm瓷白亚克力双面UV、吊件</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50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0.38</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51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BF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0.0988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13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2B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283A9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4B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1C6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消防器材提示</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478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E9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88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68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0.045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C0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EF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4868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F4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DC9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消防器材禁止挪用</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13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40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0F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13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0.03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3B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A1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3FD4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96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977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禁止吸烟</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754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A1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E3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DD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2A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A0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5FCCF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8C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40E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禁止吸烟</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AD2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36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B0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11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6D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42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7BD30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C2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1D0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ATO标贴</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76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B2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E5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E6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0.0105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98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A7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21F53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AF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B64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ATP标贴</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CCA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41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DF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59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0.0054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CA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9E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E310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9A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B2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儿童身高购票线</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713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13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67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5F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1.36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8A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E7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41DA3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5A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D3F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票价表</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77B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45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0.45</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CC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1.44</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6E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0.648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6E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0E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547D5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33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140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严禁隔栏递物</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915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彩白黑白彩</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3E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0.87</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D5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E7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0.2175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A8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5B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E82E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68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54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节能标贴</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AA8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E9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A6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07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9FC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58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28F82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6E5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DA6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防汛物资临时储备点</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91B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C6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C72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C74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F5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90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702A7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75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D64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设备故障</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C74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336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96C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AEE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88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A4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470FA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6B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ECC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巡视箭头</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C50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可移除胶贴+画面+地贴保护膜（要求耐磨防滑）</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CD5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09B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D74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E5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FF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54DCB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38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74B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五联禁止标识1</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ABC56">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可移除透明膜+画面+保护膜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369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0.622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6E0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8B9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0.0933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14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2B3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0E7B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77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3B8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五联禁止标识2</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E03F8">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可移除透明膜+画面+保护膜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C5A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0.622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AEF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6F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0.0933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94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3B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21B21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DA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42D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当心缝隙组合标识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B90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D99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BA7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0DD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22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3F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5C48C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F1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11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当心夹手组合标识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A3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40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6E7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F38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2C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04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3D3F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20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F19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制动隔离阀</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8DF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82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B8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1CA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440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5C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1BF2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91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AE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无障碍设施</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85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832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8E4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0.14</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7A3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0.0168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F1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43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5805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23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84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爱心专座标识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1F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62C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2D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1D2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0.044</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B0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F1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39F81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B5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8D0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废物箱标识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920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17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2EE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98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0.0072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4C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66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39E4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5F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67</w:t>
            </w:r>
          </w:p>
        </w:tc>
        <w:tc>
          <w:tcPr>
            <w:tcW w:w="7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BD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高压联锁系统钥匙操作指南</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D89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59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79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8E2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0.06237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2B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81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1C0F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2F7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B5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应急启动操作指南</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DDE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13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F4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E29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0.06237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C87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83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0698C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3B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CFE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轮椅固定器使用说明标识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B6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95C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EC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0.067</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D3A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0.0268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E1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71C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FC02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DA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BB8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禁止倚靠标识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13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95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E8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0.086</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CEE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0.00516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90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90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8EEB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C6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26C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配电柜禁止倚靠标识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152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99C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EE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63C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0.0064</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3A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AB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1FF61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9B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DC6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请勿踩踏标识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FDB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5E1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0.135</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87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0.054</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C96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0.00729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632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D0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1A3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33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A0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座椅USB充电位置标识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E3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C9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A9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12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0.00385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BC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15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4CC8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8F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DC3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敲击点标识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3CC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0B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BC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226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9E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24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CA20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20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505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车厢号标识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E69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CA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C8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0.056</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62D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0.0056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52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BE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5BACA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3B4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806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车厢强弱冷标识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16F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DC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719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385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6D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63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A85A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B8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14E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服务热线</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572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25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0.45</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61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17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0.0675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28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BA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2450C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9B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166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消防设备严禁坐踏</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D5D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B4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0.36</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F1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EC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0.054</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ED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C2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1A96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9F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155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消防专用</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884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D6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51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FF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A7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5E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4F65D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58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097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库房重地非请勿入</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40C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2mm进口铝板、进口油墨画面、烤漆、切割</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72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0.35</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43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A8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0.0525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8F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26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B5D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99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C49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机房重地非请勿入</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495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2㎜厚铝板+进口油墨画面+烤漆+切割</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3CB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758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CE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918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FC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232EE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60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4AA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灭火器、消防栓</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B1B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2mm进口铝板、进口油墨画面、烤漆、切割、吊栏</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36F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61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E5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0.072 </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FFA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C7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2BA3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262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15E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防汛标识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53A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2mm铝板单面烤漆</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A8E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97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8A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41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DC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1923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96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367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应急物资</w:t>
            </w:r>
          </w:p>
        </w:tc>
        <w:tc>
          <w:tcPr>
            <w:tcW w:w="1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3A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双色板UV</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050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D0A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8CB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0.0261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41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76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35FD1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4A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28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2C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双色板UV</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D30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0.6</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8A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4F5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A9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13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3BD4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5D4D">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86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3BF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当心缝隙组合标识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E97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户外车贴</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F96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E21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201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86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C6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338E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C61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87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14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当心夹手组合标识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502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户外车贴</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354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5EF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F33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87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55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9B5A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214B4">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88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FD2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制动隔离阀</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C66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户外车贴</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9BB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4B16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6DA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9E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27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68A8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B263">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89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965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防汛物资</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669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双色板UV</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A8B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31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B17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0.0261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DF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9A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25449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50C4">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90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A0F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防寒物资</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39A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双色板UV</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7E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EF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576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0.0261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B6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E2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562D4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9C8B">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91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DEF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请随手关门</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37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C15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964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EA0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B9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02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052B6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E4A89">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92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327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列车编号</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113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透明膜UV</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A5A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0.44</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7B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0.105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0E1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0.0462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A2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4E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E733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A7A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93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47C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车厢编号</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D1A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透明膜UV</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31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0.224</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6D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F2E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0.01568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E1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68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4F7DF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4429">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94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25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USB充电标识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D4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透明膜UV</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452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AE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0.067</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637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0.007504</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61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58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13890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91E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95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03D9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无线充电标识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1F6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透明膜UV</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286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0.206</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899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0.117</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09F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0.024102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90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50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6920E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43E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96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066B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安全锤标识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2EA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33B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59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721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A5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1E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1528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3A3A">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97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D8DC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灭火器标识2</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A88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E73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73B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C9E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0.0375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AA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13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0C551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5D55">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98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20B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灭火器标识1</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C92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26E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58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5A8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0.0298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F7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EA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6366D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0E0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99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FAD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安全出口标识1</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732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988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3D4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0.145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89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0.0377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27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F4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3358B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0312">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87B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安全出口标识2</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F47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94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0.18</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923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A86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0.0198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21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47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7956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25F0">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D5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紧急解锁标识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674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67D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797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0.16</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F4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A1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46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195E0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2AC8">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3CE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紧急开门操作标识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A8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B85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E6F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983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5A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B5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07D78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1FAE">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60A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紧急呼叫标识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77F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95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A00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A8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1B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3B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0DB72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003DC">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AA0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安全锤使用标识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289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DE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DAE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746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65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87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10719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5849">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2A1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紧急出口操作步骤</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1AB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FB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CE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0.42</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39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0.12474</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2C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DD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131DB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C43B">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E60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线路图</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1E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相纸写真哑膜、倒角</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61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0.56</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E3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0.355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A9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0.1988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08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D6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1F4D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4"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5010">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8C4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手机存放盒</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266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8D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92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35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73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00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CEB8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3523">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941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手机存放盒</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0CB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5mm厚透明亚克力雕刻+内部隔层5mm透明亚克力切割+铰链+锁件</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A8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36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82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CE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5C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1E4B2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5831">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8A5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插盒</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C82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亚克力盒子（带背胶）</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A1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0.24</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32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0.305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0B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0.0704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41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54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E32F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990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110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66D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插盒</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CA9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亚克力盒子（带背胶）</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6D6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571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15D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0.0165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B1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4E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08C73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5C0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111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087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无障碍设施</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C4C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C526">
            <w:pPr>
              <w:jc w:val="center"/>
              <w:rPr>
                <w:rFonts w:hint="eastAsia" w:ascii="宋体" w:hAnsi="宋体" w:eastAsia="宋体" w:cs="宋体"/>
                <w:i w:val="0"/>
                <w:iCs w:val="0"/>
                <w:color w:val="auto"/>
                <w:sz w:val="22"/>
                <w:szCs w:val="22"/>
                <w:highlight w:val="none"/>
                <w:u w:val="none"/>
              </w:rPr>
            </w:pP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631A6">
            <w:pPr>
              <w:jc w:val="center"/>
              <w:rPr>
                <w:rFonts w:hint="eastAsia" w:ascii="宋体" w:hAnsi="宋体" w:eastAsia="宋体" w:cs="宋体"/>
                <w:i w:val="0"/>
                <w:iCs w:val="0"/>
                <w:color w:val="auto"/>
                <w:sz w:val="22"/>
                <w:szCs w:val="22"/>
                <w:highlight w:val="none"/>
                <w:u w:val="none"/>
              </w:rPr>
            </w:pP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C14A">
            <w:pPr>
              <w:jc w:val="center"/>
              <w:rPr>
                <w:rFonts w:hint="eastAsia" w:ascii="宋体" w:hAnsi="宋体" w:eastAsia="宋体" w:cs="宋体"/>
                <w:i w:val="0"/>
                <w:iCs w:val="0"/>
                <w:color w:val="auto"/>
                <w:sz w:val="22"/>
                <w:szCs w:val="22"/>
                <w:highlight w:val="none"/>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F2B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8F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30F71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D172">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112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3E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消防通道 非紧勿动</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DB8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彩白黑白彩</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27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A2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86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38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2C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7F03D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C1BEA">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113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E37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小心楼梯提示标识</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66B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E2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51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20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42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36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48638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8CD4">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114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D94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插盒</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2F9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亚克力盒子（带背胶）</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6F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0.405</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0A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0.305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75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0.1235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47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00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40865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09CE">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115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70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消防泵应急操作指南</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541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6B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BB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91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0.1 </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FC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54B5">
            <w:pPr>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66147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4001">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116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A85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巡检区域</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81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98B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2EF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2B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9C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A1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67EE7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1BC1">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117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1B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操作区域</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DB7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F45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61A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FB6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E9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1A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4FC0B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460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118</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CB6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物品存放区域</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F01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23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84D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85D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E8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EB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683D3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C689">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119</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858E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设备区域</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D847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7ABF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0.33</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5B3E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0.53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9080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0.1749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E91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550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是</w:t>
            </w:r>
          </w:p>
        </w:tc>
      </w:tr>
      <w:tr w14:paraId="464C4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72F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120</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60C1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保护区标识牌</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B17A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厚度不小0.8mm，不锈钢材质，红色字体，阴刻</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3B3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0.12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E967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0.08</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8D88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0.0096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017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4FE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是</w:t>
            </w:r>
          </w:p>
        </w:tc>
      </w:tr>
      <w:tr w14:paraId="42D97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C11F">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121</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7802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保护区界限警示牌</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A6A0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3mm厚铝合金底板，表层烤漆。</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BDD1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0.5</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5AB5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EDC3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F51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266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是</w:t>
            </w:r>
          </w:p>
        </w:tc>
      </w:tr>
      <w:tr w14:paraId="58720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CC2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122</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78CA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保护区界限警示牌</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263D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3mm厚铝合金底板，表层烤漆。</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680B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0.5</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DBEA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0.3</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EF9A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73FB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7271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是</w:t>
            </w:r>
          </w:p>
        </w:tc>
      </w:tr>
      <w:tr w14:paraId="49201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0CF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123</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3DBA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保护区界限警示牌</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D599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4mm厚铝合金底板，表层烤漆。</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7485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0.5</w:t>
            </w:r>
          </w:p>
        </w:tc>
        <w:tc>
          <w:tcPr>
            <w:tcW w:w="532" w:type="pct"/>
            <w:tcBorders>
              <w:top w:val="single" w:color="000000" w:sz="4" w:space="0"/>
              <w:left w:val="single" w:color="000000" w:sz="4" w:space="0"/>
              <w:bottom w:val="single" w:color="000000" w:sz="4" w:space="0"/>
              <w:right w:val="single" w:color="auto" w:sz="4" w:space="0"/>
            </w:tcBorders>
            <w:shd w:val="clear" w:color="auto" w:fill="auto"/>
            <w:vAlign w:val="center"/>
          </w:tcPr>
          <w:p w14:paraId="29EBA7F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0.3</w:t>
            </w:r>
          </w:p>
        </w:tc>
        <w:tc>
          <w:tcPr>
            <w:tcW w:w="567" w:type="pct"/>
            <w:tcBorders>
              <w:top w:val="single" w:color="000000" w:sz="4" w:space="0"/>
              <w:left w:val="single" w:color="auto" w:sz="4" w:space="0"/>
              <w:bottom w:val="single" w:color="000000" w:sz="4" w:space="0"/>
              <w:right w:val="single" w:color="000000" w:sz="4" w:space="0"/>
            </w:tcBorders>
            <w:shd w:val="clear" w:color="auto" w:fill="auto"/>
            <w:vAlign w:val="center"/>
          </w:tcPr>
          <w:p w14:paraId="066082B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0.15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A3C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337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是</w:t>
            </w:r>
          </w:p>
        </w:tc>
      </w:tr>
      <w:tr w14:paraId="09C2A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3319">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124</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74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巡检路径地面指示箭头</w:t>
            </w:r>
          </w:p>
        </w:tc>
        <w:tc>
          <w:tcPr>
            <w:tcW w:w="1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682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绿色带背胶胶贴</w:t>
            </w:r>
          </w:p>
        </w:tc>
        <w:tc>
          <w:tcPr>
            <w:tcW w:w="1008" w:type="pct"/>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2E7643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箭头长 150mm,箭头头部底边宽度50mm,箭尾长度 100mm,箭尾宽度 25mm。</w:t>
            </w:r>
          </w:p>
        </w:tc>
        <w:tc>
          <w:tcPr>
            <w:tcW w:w="567" w:type="pct"/>
            <w:tcBorders>
              <w:top w:val="single" w:color="000000" w:sz="4" w:space="0"/>
              <w:left w:val="single" w:color="auto" w:sz="4" w:space="0"/>
              <w:bottom w:val="single" w:color="000000" w:sz="4" w:space="0"/>
              <w:right w:val="single" w:color="000000" w:sz="4" w:space="0"/>
            </w:tcBorders>
            <w:shd w:val="clear" w:color="auto" w:fill="auto"/>
            <w:vAlign w:val="center"/>
          </w:tcPr>
          <w:p w14:paraId="6AD74EC2">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0.0125</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F7A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69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r w14:paraId="352F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1A1D">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125</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438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灯笼</w:t>
            </w:r>
          </w:p>
        </w:tc>
        <w:tc>
          <w:tcPr>
            <w:tcW w:w="29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8097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A9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82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0846D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2"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1BB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126</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FE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中国结</w:t>
            </w:r>
          </w:p>
        </w:tc>
        <w:tc>
          <w:tcPr>
            <w:tcW w:w="29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5527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1.5线14盘</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65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2E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r>
      <w:tr w14:paraId="5308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048F">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127</w:t>
            </w:r>
          </w:p>
        </w:tc>
        <w:tc>
          <w:tcPr>
            <w:tcW w:w="7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792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窗花</w:t>
            </w:r>
          </w:p>
        </w:tc>
        <w:tc>
          <w:tcPr>
            <w:tcW w:w="29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533D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正常窗花大小（每包10张）</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EB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50（包）</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19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r>
    </w:tbl>
    <w:p w14:paraId="2FD21D5A">
      <w:pPr>
        <w:rPr>
          <w:rFonts w:hint="eastAsia" w:ascii="宋体" w:hAnsi="宋体" w:cs="宋体"/>
          <w:b/>
          <w:bCs/>
          <w:color w:val="000000"/>
          <w:kern w:val="2"/>
          <w:sz w:val="24"/>
          <w:szCs w:val="21"/>
          <w:highlight w:val="none"/>
          <w:lang w:val="en-US" w:eastAsia="zh-CN" w:bidi="ar-SA"/>
        </w:rPr>
      </w:pPr>
      <w:r>
        <w:rPr>
          <w:rFonts w:hint="eastAsia" w:ascii="宋体" w:hAnsi="宋体" w:cs="宋体"/>
          <w:b/>
          <w:bCs/>
          <w:color w:val="000000"/>
          <w:kern w:val="2"/>
          <w:sz w:val="24"/>
          <w:szCs w:val="21"/>
          <w:highlight w:val="none"/>
          <w:lang w:val="en-US" w:eastAsia="zh-CN" w:bidi="ar-SA"/>
        </w:rPr>
        <w:br w:type="page"/>
      </w:r>
    </w:p>
    <w:p w14:paraId="49BD4D14">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b/>
          <w:bCs/>
          <w:color w:val="000000"/>
          <w:szCs w:val="21"/>
          <w:highlight w:val="none"/>
          <w:lang w:val="en-US" w:eastAsia="zh-CN"/>
        </w:rPr>
      </w:pPr>
      <w:r>
        <w:rPr>
          <w:rFonts w:hint="eastAsia" w:ascii="宋体" w:hAnsi="宋体" w:cs="宋体"/>
          <w:b/>
          <w:bCs/>
          <w:color w:val="000000"/>
          <w:kern w:val="2"/>
          <w:sz w:val="24"/>
          <w:szCs w:val="21"/>
          <w:highlight w:val="none"/>
          <w:lang w:val="en-US" w:eastAsia="zh-CN" w:bidi="ar-SA"/>
        </w:rPr>
        <w:t>三</w:t>
      </w:r>
      <w:r>
        <w:rPr>
          <w:rFonts w:hint="eastAsia" w:ascii="宋体" w:hAnsi="宋体" w:eastAsia="宋体" w:cs="宋体"/>
          <w:b/>
          <w:bCs/>
          <w:color w:val="000000"/>
          <w:kern w:val="2"/>
          <w:sz w:val="24"/>
          <w:szCs w:val="21"/>
          <w:highlight w:val="none"/>
          <w:lang w:val="en-US" w:eastAsia="zh-CN" w:bidi="ar-SA"/>
        </w:rPr>
        <w:t>、</w:t>
      </w:r>
      <w:r>
        <w:rPr>
          <w:rFonts w:hint="eastAsia" w:ascii="宋体" w:hAnsi="宋体" w:eastAsia="宋体" w:cs="宋体"/>
          <w:b/>
          <w:bCs/>
          <w:color w:val="000000"/>
          <w:szCs w:val="21"/>
          <w:highlight w:val="none"/>
          <w:lang w:val="en-US" w:eastAsia="zh-CN"/>
        </w:rPr>
        <w:t>具体工作要求</w:t>
      </w:r>
    </w:p>
    <w:p w14:paraId="665CD33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3.1施工工作范围为：滁宁城际铁路需求内全线路，包括各车站范围内、列车、轨行区、变电所、车辆段及城铁办公场所等，具体施工范围招标人有权根据实际情况进行调整。</w:t>
      </w:r>
    </w:p>
    <w:p w14:paraId="4F23C75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3.2工作内容如下：车站各式导向标志、列车内各式导向标志、车辆段交通标志、变电所及设备房各类标贴、城铁办公区域各式标识及城铁办公所需各类宣传展板的现场尺寸测量、设计、制作、安装和维护等相关工作</w:t>
      </w:r>
      <w:r>
        <w:rPr>
          <w:rFonts w:hint="eastAsia" w:ascii="宋体" w:hAnsi="宋体" w:cs="宋体"/>
          <w:color w:val="000000"/>
          <w:szCs w:val="21"/>
          <w:highlight w:val="none"/>
          <w:lang w:val="en-US" w:eastAsia="zh-CN"/>
        </w:rPr>
        <w:t>（大部分标识已有矢量图，无需重新设计）</w:t>
      </w:r>
      <w:r>
        <w:rPr>
          <w:rFonts w:hint="eastAsia" w:ascii="宋体" w:hAnsi="宋体" w:eastAsia="宋体" w:cs="宋体"/>
          <w:color w:val="000000"/>
          <w:szCs w:val="21"/>
          <w:highlight w:val="none"/>
          <w:lang w:val="en-US" w:eastAsia="zh-CN"/>
        </w:rPr>
        <w:t>。</w:t>
      </w:r>
    </w:p>
    <w:p w14:paraId="3200658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3.3具体工作要求：</w:t>
      </w:r>
    </w:p>
    <w:p w14:paraId="3248F52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中标人全面承担设计、制作、安装导向标识及VI系统的责任，负责系统各项功能的实现，对本项目实施全过程管理，全面负责整个系统的生产、供货、协调及管理、组织管理、工程管理、设计联络、进度控制、计划安排。运输、到货验收、安装、提供和质保责任期等全过程管理及全部责任。</w:t>
      </w:r>
    </w:p>
    <w:p w14:paraId="05C644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中标人应确保导向标识系统的统一性和优良质量。其提供的所有服务应与工程进度的要求相一致，并服从工程进度的要求。根据导向标识及标识标贴系统的性能要求，中标人应清楚并能配合解决各种接口问题，中标人必须十分清楚标识牌接口连接的方式等内容，达到整个系统的要求。</w:t>
      </w:r>
    </w:p>
    <w:p w14:paraId="524BBB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（3）中标人根据检验的要求确保按规定时间完成测量，设计，制作，安装，中标人将制作好的内容交给招标人，等招标人最终验收。</w:t>
      </w:r>
    </w:p>
    <w:p w14:paraId="54CAD07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（4）中标人应根据招标人要求需要编制计划的内容，中标人根据具体工程量，编制整体计划。在编制计划时中标人要注意：对乘客有影响的安装工作应</w:t>
      </w:r>
      <w:r>
        <w:rPr>
          <w:rFonts w:hint="eastAsia" w:ascii="宋体" w:hAnsi="宋体" w:cs="宋体"/>
          <w:color w:val="000000"/>
          <w:szCs w:val="21"/>
          <w:highlight w:val="none"/>
          <w:lang w:val="en-US" w:eastAsia="zh-CN"/>
        </w:rPr>
        <w:t>在</w:t>
      </w:r>
      <w:r>
        <w:rPr>
          <w:rFonts w:hint="eastAsia" w:ascii="宋体" w:hAnsi="宋体" w:eastAsia="宋体" w:cs="宋体"/>
          <w:color w:val="000000"/>
          <w:szCs w:val="21"/>
          <w:highlight w:val="none"/>
          <w:lang w:val="en-US" w:eastAsia="zh-CN"/>
        </w:rPr>
        <w:t>运营结束后进行，轨行区作业应满足作业时间的要求（一般为00：10~3：30）；如果中标人制定的作业时间和运营公司其他轨行区计划有冲突，招标人和中标人双方协商，调整计划或进行顺延。根据滁宁城铁导向标识及VI设计、制作、安装特点，实际安装区域点多、面广，必须具备瞬时大工作量的制作安装能力（如：全线十个车站同时更换票价表及线路图等）。</w:t>
      </w:r>
    </w:p>
    <w:p w14:paraId="7769076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项目安装人员应相对稳定，中标人应根据安装工作量和施工计划确定安装人员，人数需满足现场需要，并编制定员分析，并设有专人（项目经理）对本项目负责，配备较强的技术力量，至少配备1名技术负责人，1名安全员，2名设计人员。</w:t>
      </w:r>
    </w:p>
    <w:p w14:paraId="1D3330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四、中标人配备的资源</w:t>
      </w:r>
    </w:p>
    <w:p w14:paraId="2A285F6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4.1中标人施工人员所发生的一切交通、通信费用由中标人承担，项目所需的工器具、办公用品、管理用具、劳保用品、安全防护用具、工作服等均由中标人自行解决。</w:t>
      </w:r>
    </w:p>
    <w:p w14:paraId="3293ED9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为保证项目工作的顺利进行，且工作质量、安全目标都能达到预期的要求，对于所承包的项目，中标人需成立专门机构（项目部）从事该项工作，设有专人（项目经理）负责，并按招标人管理规定建立相关组织。</w:t>
      </w:r>
    </w:p>
    <w:p w14:paraId="00382F4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4.3中标人对施工（检修）必须使用合格的机具、设备、计量器具。</w:t>
      </w:r>
    </w:p>
    <w:p w14:paraId="2720DD9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4.4中标人根据招标人工作要求提供必要的测量备品备件。</w:t>
      </w:r>
    </w:p>
    <w:p w14:paraId="0F59B6E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4.5中标人必须提供其项目组织架构图及岗位职责。</w:t>
      </w:r>
    </w:p>
    <w:p w14:paraId="4B5AF2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4.6施工队伍应确保稳定，技术素质及技术人员搭配应满足生产需要及要求，因人员技术水平低，责任心差不符合招标人条件，招标人有权拒绝使用。</w:t>
      </w:r>
    </w:p>
    <w:p w14:paraId="1AE9521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4.7中标人施工人员按照招标人要求安排进场，开展工作并进行考核。</w:t>
      </w:r>
    </w:p>
    <w:p w14:paraId="01E5464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4.8为了完成项目工作，中标人应具有大型写真机、雕刻机、丝网印刷设备、切割设备和大型运输设备。</w:t>
      </w:r>
    </w:p>
    <w:p w14:paraId="39443EF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4.9中标人要求有专业的英文翻译合作机构，负责招标人翻译需求。</w:t>
      </w:r>
    </w:p>
    <w:p w14:paraId="7BC7F59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4.10确定为中标人后中标人需提供与翻译机构合同或协议。</w:t>
      </w:r>
    </w:p>
    <w:p w14:paraId="20E9D51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4.11中标人必须提供上述各项资源配置一览表。</w:t>
      </w:r>
    </w:p>
    <w:p w14:paraId="1DD4705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4.12中标人必须无条件遵守招标人所有的制度及相关管理规定。所有作业时间、作业人员资质要求、作业人员进场安全培训要求均按招标人的有关规定。</w:t>
      </w:r>
    </w:p>
    <w:p w14:paraId="0D1E0E6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4.13其他相关要求：中标人如需更换项目负责人需经招标人审核认可。中标人应该按照劳动法要求，和所有在本项目工作的人员签订劳动合同，支付加班费用，办理政府规定的各类保险。</w:t>
      </w:r>
    </w:p>
    <w:p w14:paraId="4621E12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五、施工要求</w:t>
      </w:r>
    </w:p>
    <w:p w14:paraId="0BED467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5.1请、销点制度：进入车站作业必须先到车站请点，经确认作业令后方可进行作业，作业完后工器具材料和人员必须出清，并到车站进行销点。</w:t>
      </w:r>
    </w:p>
    <w:p w14:paraId="1E9B36C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跟踪及抽检制度：施工项目实施过程中，招标人人员有权对中标人人员施工质量进行过程跟踪或抽检，发现不符合要求的地方，及时提出、整改；当施工按计划完成有困难时，中标人应及时调整人力、物力或采取相应措施，并向招标人报告，否则按不完成项目考核。</w:t>
      </w:r>
    </w:p>
    <w:p w14:paraId="14759B8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5.3项目完工交付制度：施工项目完工后，经双方人员检查、验收确认后，才能投入试验与运行。中标人在施工项目结束后第二天，将施工项目、时间、完成情况，以书面形式交招标人审定。</w:t>
      </w:r>
    </w:p>
    <w:p w14:paraId="3B54176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5.4 中标人必须遵守除以上制度以外的招标人所有施工制度及相关管理规定。</w:t>
      </w:r>
    </w:p>
    <w:p w14:paraId="484FBD9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六、中标人保证措施</w:t>
      </w:r>
    </w:p>
    <w:p w14:paraId="3490A1B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6.1严格遵守和执行国家、地方、行业的相关法律、法规、规范、规程、标准及招标人的厂纪、厂规等各项管理制度及规定。</w:t>
      </w:r>
    </w:p>
    <w:p w14:paraId="3AD1316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6.2遵守合同协议，组织足够力量的技术人员、技术工人，完成项目。</w:t>
      </w:r>
    </w:p>
    <w:p w14:paraId="5305ECA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6.3对项目组织机构定岗、定员。队伍人员素质、专业技术结构满足各项安装要求，并保证参加安装的人员相对稳定。</w:t>
      </w:r>
    </w:p>
    <w:p w14:paraId="7848DCF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6.4严格按照招标人管理模式，及招标人审定的工作计划和方案组织实施。</w:t>
      </w:r>
    </w:p>
    <w:p w14:paraId="5AFB69A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6.5按照合同协议认真执行，及时完成施工初验、问题的准确反馈以及最终验收。</w:t>
      </w:r>
    </w:p>
    <w:p w14:paraId="775D3EB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6.6同招标人密切配合，有义务为招标人设备维护提出合理化建议，形成“相融、相敬、互通、互助”的局面。</w:t>
      </w:r>
    </w:p>
    <w:p w14:paraId="35578E7B">
      <w:pPr>
        <w:numPr>
          <w:ilvl w:val="0"/>
          <w:numId w:val="4"/>
        </w:numPr>
        <w:snapToGrid w:val="0"/>
        <w:spacing w:line="400" w:lineRule="exact"/>
        <w:ind w:firstLine="420"/>
        <w:rPr>
          <w:rFonts w:ascii="宋体" w:hAnsi="宋体" w:cs="宋体"/>
          <w:b/>
          <w:bCs/>
          <w:color w:val="000000"/>
          <w:szCs w:val="21"/>
          <w:highlight w:val="none"/>
        </w:rPr>
      </w:pPr>
      <w:r>
        <w:rPr>
          <w:rFonts w:hint="eastAsia" w:ascii="宋体" w:hAnsi="宋体" w:cs="宋体"/>
          <w:b/>
          <w:bCs/>
          <w:color w:val="000000"/>
          <w:szCs w:val="21"/>
          <w:highlight w:val="none"/>
        </w:rPr>
        <w:t>项目施工验收标准</w:t>
      </w:r>
    </w:p>
    <w:p w14:paraId="41CCC1A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本次项目材质编号及主要工作量材质清单参见</w:t>
      </w:r>
      <w:r>
        <w:rPr>
          <w:rFonts w:hint="eastAsia" w:ascii="宋体" w:hAnsi="宋体" w:eastAsia="宋体" w:cs="宋体"/>
          <w:color w:val="auto"/>
          <w:szCs w:val="21"/>
          <w:highlight w:val="none"/>
          <w:lang w:val="en-US" w:eastAsia="zh-CN"/>
        </w:rPr>
        <w:t>《采购清单》</w:t>
      </w:r>
      <w:r>
        <w:rPr>
          <w:rFonts w:hint="eastAsia" w:ascii="宋体" w:hAnsi="宋体" w:eastAsia="宋体" w:cs="宋体"/>
          <w:color w:val="000000"/>
          <w:szCs w:val="21"/>
          <w:highlight w:val="none"/>
          <w:lang w:val="en-US" w:eastAsia="zh-CN"/>
        </w:rPr>
        <w:t>。实际制作安装工作量以满足现场导向标识及VI规范要求为准。</w:t>
      </w:r>
    </w:p>
    <w:p w14:paraId="1B8016A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3" w:name="_Toc496538106"/>
      <w:r>
        <w:rPr>
          <w:rFonts w:hint="eastAsia" w:ascii="宋体" w:hAnsi="宋体" w:eastAsia="宋体" w:cs="宋体"/>
          <w:color w:val="000000"/>
          <w:szCs w:val="21"/>
          <w:highlight w:val="none"/>
          <w:lang w:val="en-US" w:eastAsia="zh-CN"/>
        </w:rPr>
        <w:t>7.1安全性</w:t>
      </w:r>
      <w:bookmarkEnd w:id="93"/>
    </w:p>
    <w:p w14:paraId="23F6926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4" w:name="_Toc496538107"/>
      <w:r>
        <w:rPr>
          <w:rFonts w:hint="eastAsia" w:ascii="宋体" w:hAnsi="宋体" w:eastAsia="宋体" w:cs="宋体"/>
          <w:color w:val="000000"/>
          <w:szCs w:val="21"/>
          <w:highlight w:val="none"/>
          <w:lang w:val="en-US" w:eastAsia="zh-CN"/>
        </w:rPr>
        <w:t>安全性要求主要包括：设备安全、电气安全、环境适应性、可维修性。</w:t>
      </w:r>
      <w:bookmarkEnd w:id="94"/>
    </w:p>
    <w:p w14:paraId="7A643C2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7.1.1设备安全</w:t>
      </w:r>
    </w:p>
    <w:p w14:paraId="448DB58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标识牌所用的材料应有足够的强度，能承受一定的碰撞和冲击，标识牌应满足在8级大风的情况下不发生变形、倾斜、坠落等现象；</w:t>
      </w:r>
    </w:p>
    <w:p w14:paraId="7D42F7B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标识牌、吊挂件等外部不能有尖角、锋边、毛刺等，避免对乘客及操作员的伤害；因质量问题造成人身伤害，中标人负责赔偿。</w:t>
      </w:r>
    </w:p>
    <w:p w14:paraId="703F8F9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导向标识牌吊挂结构，标识牌与顶板、标识牌与墙面、地面的连接固定，其承载力、拉力等要求应有足够的结构强度，并符合国家有关标准。</w:t>
      </w:r>
    </w:p>
    <w:p w14:paraId="29BB8B7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7.1.2电气安全</w:t>
      </w:r>
    </w:p>
    <w:p w14:paraId="2743D9B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导向标识牌的照明控制是通过导向标识系统单独配电来操作完成的。</w:t>
      </w:r>
    </w:p>
    <w:p w14:paraId="7CDB1F1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导向标识系统应有独立的电气回路和漏电保护开关，每个标识牌应有独立的电气开关。</w:t>
      </w:r>
    </w:p>
    <w:p w14:paraId="64B3837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导线质量要求：选用低烟的无卤的阻燃电线，需符合国家相关规范。</w:t>
      </w:r>
    </w:p>
    <w:p w14:paraId="246D577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导向标识牌应有良好的接地措施，内部走线合理，采用连接器连接。箱体中的导线应捆扎整齐，便于检修和维护。</w:t>
      </w:r>
    </w:p>
    <w:p w14:paraId="6D028CB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导向标识牌与外接电源的接线长度须预留1.2～2米，加装金属蛇皮管护套，该电源线从标识牌的指定位置预留孔穿出，孔边加橡胶保护套，以防电源线被割破。</w:t>
      </w:r>
    </w:p>
    <w:p w14:paraId="36A88F4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7.1.3环境适应性</w:t>
      </w:r>
    </w:p>
    <w:p w14:paraId="0DCDE35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导向标识牌所使用的各种材料应适应滁州的气候条件。</w:t>
      </w:r>
    </w:p>
    <w:p w14:paraId="6E5F1AB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导向标识牌所使用的各种材料能适应车站内灰土，高温、潮湿、震动、静电等恶劣环境要求。</w:t>
      </w:r>
    </w:p>
    <w:p w14:paraId="6919CF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导向标识牌所使用的各种材料应满足防潮和防水的要求，确保结构件和装饰件20年内不锈蚀。</w:t>
      </w:r>
    </w:p>
    <w:p w14:paraId="2A4A48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7.1.4可维修性</w:t>
      </w:r>
    </w:p>
    <w:p w14:paraId="2C3607B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中标人对标识牌应进行二次设计，应做到减少维修作业次数、简化维修操作等。</w:t>
      </w:r>
    </w:p>
    <w:p w14:paraId="42C71CF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导向标识牌出现故障或损坏时，车站维护人员应可以在最短的时间内对标识牌进行测试和维修。维修人员维修某部件时无需拆除其它部件，同时不能影响其他标识牌的工作。</w:t>
      </w:r>
    </w:p>
    <w:p w14:paraId="6748F78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标准化设计。相同安装方式应采用同一类型的紧固件，紧固件应采用标准件。</w:t>
      </w:r>
    </w:p>
    <w:p w14:paraId="05C35D9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5" w:name="_Toc496538108"/>
      <w:r>
        <w:rPr>
          <w:rFonts w:hint="eastAsia" w:ascii="宋体" w:hAnsi="宋体" w:eastAsia="宋体" w:cs="宋体"/>
          <w:color w:val="000000"/>
          <w:szCs w:val="21"/>
          <w:highlight w:val="none"/>
          <w:lang w:val="en-US" w:eastAsia="zh-CN"/>
        </w:rPr>
        <w:t>7.2标准和规范</w:t>
      </w:r>
      <w:bookmarkEnd w:id="95"/>
    </w:p>
    <w:p w14:paraId="54DD40F0">
      <w:pPr>
        <w:keepNext w:val="0"/>
        <w:keepLines w:val="0"/>
        <w:pageBreakBefore w:val="0"/>
        <w:kinsoku/>
        <w:wordWrap/>
        <w:overflowPunct/>
        <w:topLinePunct w:val="0"/>
        <w:autoSpaceDE/>
        <w:autoSpaceDN/>
        <w:bidi w:val="0"/>
        <w:adjustRightInd/>
        <w:snapToGrid w:val="0"/>
        <w:spacing w:line="400" w:lineRule="exact"/>
        <w:ind w:firstLine="420"/>
        <w:textAlignment w:val="auto"/>
        <w:rPr>
          <w:rFonts w:ascii="宋体" w:hAnsi="宋体" w:cs="宋体"/>
          <w:color w:val="000000"/>
          <w:szCs w:val="21"/>
          <w:highlight w:val="none"/>
        </w:rPr>
      </w:pPr>
      <w:r>
        <w:rPr>
          <w:rFonts w:hint="eastAsia" w:ascii="宋体" w:hAnsi="宋体" w:eastAsia="宋体" w:cs="宋体"/>
          <w:color w:val="000000"/>
          <w:szCs w:val="21"/>
          <w:highlight w:val="none"/>
          <w:lang w:val="en-US" w:eastAsia="zh-CN"/>
        </w:rPr>
        <w:t>标识系统所有使用材料的各项技术指标应符合但不只限于国家规范、标准与要求，除特别</w:t>
      </w:r>
      <w:r>
        <w:rPr>
          <w:rFonts w:hint="eastAsia" w:ascii="宋体" w:hAnsi="宋体" w:cs="宋体"/>
          <w:color w:val="000000"/>
          <w:szCs w:val="21"/>
          <w:highlight w:val="none"/>
          <w:lang w:val="en-US" w:eastAsia="zh-CN"/>
        </w:rPr>
        <w:t>注明</w:t>
      </w:r>
      <w:r>
        <w:rPr>
          <w:rFonts w:hint="eastAsia" w:ascii="宋体" w:hAnsi="宋体" w:eastAsia="宋体" w:cs="宋体"/>
          <w:color w:val="000000"/>
          <w:szCs w:val="21"/>
          <w:highlight w:val="none"/>
          <w:lang w:val="en-US" w:eastAsia="zh-CN"/>
        </w:rPr>
        <w:t>专用技术条件外，可参照本文通用技术要求。如发现专用技术条件与通用技术要求有</w:t>
      </w:r>
      <w:r>
        <w:rPr>
          <w:rFonts w:hint="eastAsia" w:ascii="宋体" w:hAnsi="宋体" w:cs="宋体"/>
          <w:color w:val="000000"/>
          <w:szCs w:val="21"/>
          <w:highlight w:val="none"/>
          <w:lang w:val="en-US" w:eastAsia="zh-CN"/>
        </w:rPr>
        <w:t>冲突</w:t>
      </w:r>
      <w:r>
        <w:rPr>
          <w:rFonts w:hint="eastAsia" w:ascii="宋体" w:hAnsi="宋体" w:eastAsia="宋体" w:cs="宋体"/>
          <w:color w:val="000000"/>
          <w:szCs w:val="21"/>
          <w:highlight w:val="none"/>
          <w:lang w:val="en-US" w:eastAsia="zh-CN"/>
        </w:rPr>
        <w:t>，则以前者为准；如发现执行标准在制作加工前有最新标准，则按新标准执行。</w:t>
      </w:r>
    </w:p>
    <w:p w14:paraId="285FAC6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7.2.1图形符号</w:t>
      </w:r>
    </w:p>
    <w:p w14:paraId="0518803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GB13495.1—2015        《消防安全标志第1部分：标志》</w:t>
      </w:r>
    </w:p>
    <w:p w14:paraId="5BD00F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 10001.2系列       《公共信息标志用图形符号》</w:t>
      </w:r>
    </w:p>
    <w:p w14:paraId="70358F3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GB/T15608-2006</w:t>
      </w:r>
      <w:r>
        <w:rPr>
          <w:rFonts w:hint="eastAsia" w:ascii="宋体" w:hAnsi="宋体" w:eastAsia="宋体" w:cs="宋体"/>
          <w:color w:val="000000"/>
          <w:szCs w:val="21"/>
          <w:highlight w:val="none"/>
          <w:lang w:val="en-US" w:eastAsia="zh-CN"/>
        </w:rPr>
        <w:tab/>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lang w:val="en-US" w:eastAsia="zh-CN"/>
        </w:rPr>
        <w:tab/>
      </w:r>
      <w:r>
        <w:rPr>
          <w:rFonts w:hint="eastAsia" w:ascii="宋体" w:hAnsi="宋体" w:eastAsia="宋体" w:cs="宋体"/>
          <w:color w:val="000000"/>
          <w:szCs w:val="21"/>
          <w:highlight w:val="none"/>
          <w:lang w:val="en-US" w:eastAsia="zh-CN"/>
        </w:rPr>
        <w:t xml:space="preserve">   《中国颜色体系》</w:t>
      </w:r>
    </w:p>
    <w:p w14:paraId="75AF367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 18574-2008        《地铁客运服务标志》</w:t>
      </w:r>
    </w:p>
    <w:p w14:paraId="3A742FA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GB/T10001.1—2012      《标志用公共信息图形符号　第1部分：通用符号》</w:t>
      </w:r>
    </w:p>
    <w:p w14:paraId="6B2E4CB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GB/T10001.3—2011      《标志用公共信息图形符号　第3部分：客运与货运》</w:t>
      </w:r>
    </w:p>
    <w:p w14:paraId="734C8BC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GB/T10001.9—2008      《标志用公共信息图形符号　第9部分：无障碍设施符号》</w:t>
      </w:r>
    </w:p>
    <w:p w14:paraId="656CE03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GB/T10001.10—2014     《标志用公共信息图形符号　第10部分：铁路客运符号》</w:t>
      </w:r>
    </w:p>
    <w:p w14:paraId="729763A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5768.1—2016        《道路交通标志和标线　第１部分：总则》</w:t>
      </w:r>
    </w:p>
    <w:p w14:paraId="494285F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5768.2—2016        《道路交通标志和标线　第2部分：道路交通标志》</w:t>
      </w:r>
    </w:p>
    <w:p w14:paraId="2A3E3D7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5768.3—2016        《道路交通标志和标线　第3部分：道路交通标线》</w:t>
      </w:r>
    </w:p>
    <w:p w14:paraId="18D3C00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GB/65271-1986          《安全色卡》</w:t>
      </w:r>
    </w:p>
    <w:p w14:paraId="3DF2285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GB/T14543-1993         《标志用图形符号的视觉设计原则》</w:t>
      </w:r>
    </w:p>
    <w:p w14:paraId="6CDAE8C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7.2.2 照明标准</w:t>
      </w:r>
    </w:p>
    <w:p w14:paraId="66391D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GB/T 16275-2008                《城市轨道交通照明》</w:t>
      </w:r>
    </w:p>
    <w:p w14:paraId="723BCA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50054-2011                  《低压配电设计规范》</w:t>
      </w:r>
    </w:p>
    <w:p w14:paraId="13BBD94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 50055-2011                  《通用用电设备配电设计规范》</w:t>
      </w:r>
    </w:p>
    <w:p w14:paraId="19BC574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GB50763-2012                   《无障碍设计规范》</w:t>
      </w:r>
    </w:p>
    <w:p w14:paraId="2F736E5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7.2.3金属材料 </w:t>
      </w:r>
    </w:p>
    <w:p w14:paraId="6CF676C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金属材料GB/T5237 –2017  《铝合金建筑型材》</w:t>
      </w:r>
    </w:p>
    <w:p w14:paraId="2F37EFC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金属材料GB/T 3280-2015   《不锈钢冷轧钢板和钢带》</w:t>
      </w:r>
    </w:p>
    <w:p w14:paraId="002B3BE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7.2.4聚碳酸酯板及增光膜</w:t>
      </w:r>
    </w:p>
    <w:p w14:paraId="47A5541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GB8624－2012      《建筑材料燃烧性能分级方法》</w:t>
      </w:r>
    </w:p>
    <w:p w14:paraId="6569942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7.2.5  安全</w:t>
      </w:r>
    </w:p>
    <w:p w14:paraId="027648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GA54-93           《公共安全行业标准》</w:t>
      </w:r>
    </w:p>
    <w:p w14:paraId="7A91FDD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GB2894-</w:t>
      </w:r>
      <w:r>
        <w:rPr>
          <w:rFonts w:hint="eastAsia" w:ascii="宋体" w:hAnsi="宋体" w:cs="宋体"/>
          <w:color w:val="000000"/>
          <w:szCs w:val="21"/>
          <w:highlight w:val="none"/>
          <w:lang w:val="en-US" w:eastAsia="zh-CN"/>
        </w:rPr>
        <w:t>2025</w:t>
      </w:r>
      <w:r>
        <w:rPr>
          <w:rFonts w:hint="eastAsia" w:ascii="宋体" w:hAnsi="宋体" w:eastAsia="宋体" w:cs="宋体"/>
          <w:color w:val="000000"/>
          <w:szCs w:val="21"/>
          <w:highlight w:val="none"/>
          <w:lang w:val="en-US" w:eastAsia="zh-CN"/>
        </w:rPr>
        <w:t xml:space="preserve">       《安全色和安全标志》</w:t>
      </w:r>
    </w:p>
    <w:p w14:paraId="110440D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7.2.6其他相关文件</w:t>
      </w:r>
    </w:p>
    <w:p w14:paraId="122863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运营公司的文件要求：包括《委外工作管理办法》《专业检修规程》《施工管理制度》</w:t>
      </w:r>
    </w:p>
    <w:p w14:paraId="45B7027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96" w:name="_Toc496538109"/>
      <w:r>
        <w:rPr>
          <w:rFonts w:hint="eastAsia" w:ascii="宋体" w:hAnsi="宋体" w:eastAsia="宋体" w:cs="宋体"/>
          <w:color w:val="000000"/>
          <w:szCs w:val="21"/>
          <w:highlight w:val="none"/>
          <w:lang w:val="en-US" w:eastAsia="zh-CN"/>
        </w:rPr>
        <w:t>7.3技术要求</w:t>
      </w:r>
      <w:bookmarkEnd w:id="96"/>
    </w:p>
    <w:p w14:paraId="1BD35D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7.3.1整体要求</w:t>
      </w:r>
    </w:p>
    <w:p w14:paraId="313F530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标牌的周边应平直，不应有明显的毛刺和齿形及波形，正面应平整光洁，外框线</w:t>
      </w:r>
      <w:r>
        <w:rPr>
          <w:rFonts w:hint="eastAsia" w:ascii="宋体" w:hAnsi="宋体" w:cs="宋体"/>
          <w:color w:val="000000"/>
          <w:szCs w:val="21"/>
          <w:highlight w:val="none"/>
          <w:lang w:val="en-US" w:eastAsia="zh-CN"/>
        </w:rPr>
        <w:t>应</w:t>
      </w:r>
      <w:r>
        <w:rPr>
          <w:rFonts w:hint="eastAsia" w:ascii="宋体" w:hAnsi="宋体" w:eastAsia="宋体" w:cs="宋体"/>
          <w:color w:val="000000"/>
          <w:szCs w:val="21"/>
          <w:highlight w:val="none"/>
          <w:lang w:val="en-US" w:eastAsia="zh-CN"/>
        </w:rPr>
        <w:t>均匀、平直，不应弯曲断缺；字体、符号</w:t>
      </w:r>
      <w:r>
        <w:rPr>
          <w:rFonts w:hint="eastAsia" w:ascii="宋体" w:hAnsi="宋体" w:cs="宋体"/>
          <w:color w:val="000000"/>
          <w:szCs w:val="21"/>
          <w:highlight w:val="none"/>
          <w:lang w:val="en-US" w:eastAsia="zh-CN"/>
        </w:rPr>
        <w:t>应</w:t>
      </w:r>
      <w:r>
        <w:rPr>
          <w:rFonts w:hint="eastAsia" w:ascii="宋体" w:hAnsi="宋体" w:eastAsia="宋体" w:cs="宋体"/>
          <w:color w:val="000000"/>
          <w:szCs w:val="21"/>
          <w:highlight w:val="none"/>
          <w:lang w:val="en-US" w:eastAsia="zh-CN"/>
        </w:rPr>
        <w:t>整齐醒目，排列均匀，不应糊不清；表面不应有裂纹和明显的擦伤丝纹以及有影响其清晰的锈迹、斑点、暗影；涂镀层不应有气孔、气泡、雾状、污迹、皱纹、剥落迹象和明显的颗粒杂质；粘贴标牌不应出现折痕、皱纹、自卷、撕裂和粘结剂渗出现象；标牌的颜色应清晰醒目、色泽均匀，不应有泛色；两种及两种以上颜色套印的标牌，色彩间边缘应整齐、清晰，两色相接处不应有间隙；产品制作时需要根据需求对表面进行消光处理，形成无光或哑光；所有金属构、配件，均应在安装前后严格按照有关规定进行防锈、防腐处理。</w:t>
      </w:r>
    </w:p>
    <w:tbl>
      <w:tblPr>
        <w:tblStyle w:val="1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43"/>
        <w:gridCol w:w="7200"/>
      </w:tblGrid>
      <w:tr w14:paraId="197E9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trPr>
        <w:tc>
          <w:tcPr>
            <w:tcW w:w="2243" w:type="dxa"/>
            <w:noWrap w:val="0"/>
            <w:vAlign w:val="center"/>
          </w:tcPr>
          <w:p w14:paraId="1337AD9A">
            <w:pPr>
              <w:keepNext w:val="0"/>
              <w:keepLines w:val="0"/>
              <w:pageBreakBefore w:val="0"/>
              <w:kinsoku/>
              <w:wordWrap/>
              <w:overflowPunct/>
              <w:topLinePunct w:val="0"/>
              <w:autoSpaceDE/>
              <w:autoSpaceDN/>
              <w:bidi w:val="0"/>
              <w:adjustRightInd/>
              <w:snapToGrid w:val="0"/>
              <w:spacing w:line="400" w:lineRule="exact"/>
              <w:ind w:firstLine="42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名称</w:t>
            </w:r>
          </w:p>
        </w:tc>
        <w:tc>
          <w:tcPr>
            <w:tcW w:w="7200" w:type="dxa"/>
            <w:noWrap w:val="0"/>
            <w:vAlign w:val="center"/>
          </w:tcPr>
          <w:p w14:paraId="5FDA9522">
            <w:pPr>
              <w:keepNext w:val="0"/>
              <w:keepLines w:val="0"/>
              <w:pageBreakBefore w:val="0"/>
              <w:kinsoku/>
              <w:wordWrap/>
              <w:overflowPunct/>
              <w:topLinePunct w:val="0"/>
              <w:autoSpaceDE/>
              <w:autoSpaceDN/>
              <w:bidi w:val="0"/>
              <w:adjustRightInd/>
              <w:snapToGrid w:val="0"/>
              <w:spacing w:line="400" w:lineRule="exact"/>
              <w:ind w:firstLine="42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要求</w:t>
            </w:r>
          </w:p>
        </w:tc>
      </w:tr>
      <w:tr w14:paraId="2EC55D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45" w:hRule="atLeast"/>
        </w:trPr>
        <w:tc>
          <w:tcPr>
            <w:tcW w:w="2243" w:type="dxa"/>
            <w:noWrap w:val="0"/>
            <w:vAlign w:val="center"/>
          </w:tcPr>
          <w:p w14:paraId="147D5071">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牌体尺寸公差</w:t>
            </w:r>
          </w:p>
        </w:tc>
        <w:tc>
          <w:tcPr>
            <w:tcW w:w="7200" w:type="dxa"/>
            <w:noWrap w:val="0"/>
            <w:vAlign w:val="center"/>
          </w:tcPr>
          <w:p w14:paraId="67E87EB4">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边长偏差：≤2mm；</w:t>
            </w:r>
          </w:p>
          <w:p w14:paraId="19B96AD3">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平行度偏差：≤2mm；</w:t>
            </w:r>
          </w:p>
          <w:p w14:paraId="3C91A4C7">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面板平整度：≤1mm；</w:t>
            </w:r>
          </w:p>
          <w:p w14:paraId="63011C68">
            <w:pPr>
              <w:keepNext w:val="0"/>
              <w:keepLines w:val="0"/>
              <w:pageBreakBefore w:val="0"/>
              <w:widowControl w:val="0"/>
              <w:kinsoku/>
              <w:wordWrap/>
              <w:overflowPunct/>
              <w:topLinePunct w:val="0"/>
              <w:autoSpaceDE/>
              <w:autoSpaceDN/>
              <w:bidi w:val="0"/>
              <w:adjustRightInd/>
              <w:snapToGrid w:val="0"/>
              <w:spacing w:line="400" w:lineRule="exact"/>
              <w:ind w:firstLine="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外框角度方正：≤1%；</w:t>
            </w:r>
          </w:p>
        </w:tc>
      </w:tr>
      <w:tr w14:paraId="5A1731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2243" w:type="dxa"/>
            <w:noWrap w:val="0"/>
            <w:vAlign w:val="center"/>
          </w:tcPr>
          <w:p w14:paraId="1EE908BA">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表面照明均匀度</w:t>
            </w:r>
          </w:p>
        </w:tc>
        <w:tc>
          <w:tcPr>
            <w:tcW w:w="7200" w:type="dxa"/>
            <w:noWrap w:val="0"/>
            <w:vAlign w:val="center"/>
          </w:tcPr>
          <w:p w14:paraId="683CE593">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最亮点与最暗点照度差≤25%；</w:t>
            </w:r>
          </w:p>
        </w:tc>
      </w:tr>
      <w:tr w14:paraId="7801B4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59" w:hRule="atLeast"/>
        </w:trPr>
        <w:tc>
          <w:tcPr>
            <w:tcW w:w="2243" w:type="dxa"/>
            <w:noWrap w:val="0"/>
            <w:vAlign w:val="center"/>
          </w:tcPr>
          <w:p w14:paraId="48465E41">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外观要求</w:t>
            </w:r>
          </w:p>
        </w:tc>
        <w:tc>
          <w:tcPr>
            <w:tcW w:w="7200" w:type="dxa"/>
            <w:noWrap w:val="0"/>
            <w:vAlign w:val="center"/>
          </w:tcPr>
          <w:p w14:paraId="08B52FC1">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外形要平整、棱角清晰，切口无毛刺和变形，可见部分不允许有螺钉出现；</w:t>
            </w:r>
          </w:p>
        </w:tc>
      </w:tr>
      <w:tr w14:paraId="739848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02" w:hRule="atLeast"/>
        </w:trPr>
        <w:tc>
          <w:tcPr>
            <w:tcW w:w="2243" w:type="dxa"/>
            <w:noWrap w:val="0"/>
            <w:vAlign w:val="center"/>
          </w:tcPr>
          <w:p w14:paraId="4E137060">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写真</w:t>
            </w:r>
          </w:p>
        </w:tc>
        <w:tc>
          <w:tcPr>
            <w:tcW w:w="7200" w:type="dxa"/>
            <w:noWrap w:val="0"/>
            <w:vAlign w:val="center"/>
          </w:tcPr>
          <w:p w14:paraId="3CCA2AF3">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油墨具有耐久性及耐化学品性色彩鲜艳准确，附着力强，涂层厚度均匀，图案线边无毛刺，缺口，凸轮。写真必须达到抗紫外线2年以上及不反光性，需满足日常维修和清理。</w:t>
            </w:r>
          </w:p>
        </w:tc>
      </w:tr>
      <w:tr w14:paraId="2DE7AE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81" w:hRule="atLeast"/>
        </w:trPr>
        <w:tc>
          <w:tcPr>
            <w:tcW w:w="2243" w:type="dxa"/>
            <w:noWrap w:val="0"/>
            <w:vAlign w:val="center"/>
          </w:tcPr>
          <w:p w14:paraId="4A05622E">
            <w:pPr>
              <w:keepNext w:val="0"/>
              <w:keepLines w:val="0"/>
              <w:pageBreakBefore w:val="0"/>
              <w:kinsoku/>
              <w:wordWrap/>
              <w:overflowPunct/>
              <w:topLinePunct w:val="0"/>
              <w:autoSpaceDE/>
              <w:autoSpaceDN/>
              <w:bidi w:val="0"/>
              <w:adjustRightInd/>
              <w:snapToGrid w:val="0"/>
              <w:spacing w:line="400" w:lineRule="exact"/>
              <w:ind w:firstLine="210" w:firstLineChars="10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自粘型乙烯薄膜</w:t>
            </w:r>
          </w:p>
        </w:tc>
        <w:tc>
          <w:tcPr>
            <w:tcW w:w="7200" w:type="dxa"/>
            <w:noWrap w:val="0"/>
            <w:vAlign w:val="center"/>
          </w:tcPr>
          <w:p w14:paraId="5BB21AC8">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必须达到2年以上，需满足日维修和清理。</w:t>
            </w:r>
          </w:p>
        </w:tc>
      </w:tr>
      <w:tr w14:paraId="24D14C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57" w:hRule="atLeast"/>
        </w:trPr>
        <w:tc>
          <w:tcPr>
            <w:tcW w:w="2243" w:type="dxa"/>
            <w:noWrap w:val="0"/>
            <w:vAlign w:val="center"/>
          </w:tcPr>
          <w:p w14:paraId="4DE2E228">
            <w:pPr>
              <w:keepNext w:val="0"/>
              <w:keepLines w:val="0"/>
              <w:pageBreakBefore w:val="0"/>
              <w:kinsoku/>
              <w:wordWrap/>
              <w:overflowPunct/>
              <w:topLinePunct w:val="0"/>
              <w:autoSpaceDE/>
              <w:autoSpaceDN/>
              <w:bidi w:val="0"/>
              <w:adjustRightInd/>
              <w:snapToGrid w:val="0"/>
              <w:spacing w:line="400" w:lineRule="exact"/>
              <w:ind w:firstLine="210" w:firstLineChars="10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划线外观要求</w:t>
            </w:r>
          </w:p>
        </w:tc>
        <w:tc>
          <w:tcPr>
            <w:tcW w:w="7200" w:type="dxa"/>
            <w:noWrap w:val="0"/>
            <w:vAlign w:val="center"/>
          </w:tcPr>
          <w:p w14:paraId="26AE6BF9">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外形要平整、棱角清晰。油漆喷涂要保持2年以上。</w:t>
            </w:r>
          </w:p>
        </w:tc>
      </w:tr>
    </w:tbl>
    <w:p w14:paraId="743DDB7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7.3.2材料要求</w:t>
      </w:r>
    </w:p>
    <w:p w14:paraId="4DB0664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中标人须承诺，制作中采用的各种材料满足以下要求：</w:t>
      </w:r>
    </w:p>
    <w:p w14:paraId="3019184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符合国际标准、国家标准和技术规格书的要求，主要材料均要取得以上级别的认证产品。</w:t>
      </w:r>
    </w:p>
    <w:p w14:paraId="0DE8157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所有材料符合环保要求，严禁使用环保不达</w:t>
      </w:r>
      <w:r>
        <w:rPr>
          <w:rFonts w:hint="eastAsia" w:ascii="宋体" w:hAnsi="宋体" w:cs="宋体"/>
          <w:color w:val="000000"/>
          <w:szCs w:val="21"/>
          <w:highlight w:val="none"/>
          <w:lang w:val="en-US" w:eastAsia="zh-CN"/>
        </w:rPr>
        <w:t>标</w:t>
      </w:r>
      <w:r>
        <w:rPr>
          <w:rFonts w:hint="eastAsia" w:ascii="宋体" w:hAnsi="宋体" w:eastAsia="宋体" w:cs="宋体"/>
          <w:color w:val="000000"/>
          <w:szCs w:val="21"/>
          <w:highlight w:val="none"/>
          <w:lang w:val="en-US" w:eastAsia="zh-CN"/>
        </w:rPr>
        <w:t>的产品，标识牌应达到：无毒、无害、无放射性、无气味。</w:t>
      </w:r>
    </w:p>
    <w:p w14:paraId="49FF65A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所有使用的材料为全新产品，严禁残次品进入标识的结构。</w:t>
      </w:r>
    </w:p>
    <w:p w14:paraId="37C1C0A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所有的电器材料、电器均为国标阻燃材料。</w:t>
      </w:r>
    </w:p>
    <w:p w14:paraId="1960F87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粘贴牌应选用在不采用活化或加热的条件下能将标牌牢固地粘贴在平整、光洁、无油污的金属或非金属表面上的</w:t>
      </w:r>
      <w:r>
        <w:rPr>
          <w:rFonts w:hint="eastAsia" w:ascii="宋体" w:hAnsi="宋体" w:cs="宋体"/>
          <w:color w:val="000000"/>
          <w:szCs w:val="21"/>
          <w:highlight w:val="none"/>
          <w:lang w:val="en-US" w:eastAsia="zh-CN"/>
        </w:rPr>
        <w:t>黏结</w:t>
      </w:r>
      <w:r>
        <w:rPr>
          <w:rFonts w:hint="eastAsia" w:ascii="宋体" w:hAnsi="宋体" w:eastAsia="宋体" w:cs="宋体"/>
          <w:color w:val="000000"/>
          <w:szCs w:val="21"/>
          <w:highlight w:val="none"/>
          <w:lang w:val="en-US" w:eastAsia="zh-CN"/>
        </w:rPr>
        <w:t>材料。</w:t>
      </w:r>
    </w:p>
    <w:p w14:paraId="09275DD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所有金属构、配件，均应在安装前后严格按照有关规定进行防锈、防腐处理。</w:t>
      </w:r>
    </w:p>
    <w:p w14:paraId="302CF576">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材料具体性能要求</w:t>
      </w:r>
    </w:p>
    <w:tbl>
      <w:tblPr>
        <w:tblStyle w:val="19"/>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4961"/>
        <w:gridCol w:w="3119"/>
      </w:tblGrid>
      <w:tr w14:paraId="161E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4FDDBB33">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项   目</w:t>
            </w:r>
          </w:p>
        </w:tc>
        <w:tc>
          <w:tcPr>
            <w:tcW w:w="4961" w:type="dxa"/>
            <w:noWrap w:val="0"/>
            <w:vAlign w:val="center"/>
          </w:tcPr>
          <w:p w14:paraId="13DAA12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要   求</w:t>
            </w:r>
          </w:p>
        </w:tc>
        <w:tc>
          <w:tcPr>
            <w:tcW w:w="3119" w:type="dxa"/>
            <w:noWrap w:val="0"/>
            <w:vAlign w:val="center"/>
          </w:tcPr>
          <w:p w14:paraId="5FE4B5A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备   注</w:t>
            </w:r>
          </w:p>
        </w:tc>
      </w:tr>
      <w:tr w14:paraId="033E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Borders>
              <w:right w:val="nil"/>
            </w:tcBorders>
            <w:noWrap w:val="0"/>
            <w:vAlign w:val="center"/>
          </w:tcPr>
          <w:p w14:paraId="075D703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材料部分</w:t>
            </w:r>
          </w:p>
        </w:tc>
        <w:tc>
          <w:tcPr>
            <w:tcW w:w="8080" w:type="dxa"/>
            <w:gridSpan w:val="2"/>
            <w:tcBorders>
              <w:left w:val="nil"/>
            </w:tcBorders>
            <w:noWrap w:val="0"/>
            <w:vAlign w:val="center"/>
          </w:tcPr>
          <w:p w14:paraId="051708F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41E0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68136B9A">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铝型材</w:t>
            </w:r>
          </w:p>
        </w:tc>
        <w:tc>
          <w:tcPr>
            <w:tcW w:w="4961" w:type="dxa"/>
            <w:noWrap w:val="0"/>
            <w:vAlign w:val="center"/>
          </w:tcPr>
          <w:p w14:paraId="0012B62B">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面板厚度：≥2mm</w:t>
            </w:r>
          </w:p>
        </w:tc>
        <w:tc>
          <w:tcPr>
            <w:tcW w:w="3119" w:type="dxa"/>
            <w:noWrap w:val="0"/>
            <w:vAlign w:val="center"/>
          </w:tcPr>
          <w:p w14:paraId="0C97BD5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良好的抗腐蚀性，韧性，易于抛光，丝印；</w:t>
            </w:r>
          </w:p>
        </w:tc>
      </w:tr>
      <w:tr w14:paraId="1767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2FF437F2">
            <w:pPr>
              <w:keepNext w:val="0"/>
              <w:keepLines w:val="0"/>
              <w:pageBreakBefore w:val="0"/>
              <w:kinsoku/>
              <w:wordWrap/>
              <w:overflowPunct/>
              <w:topLinePunct w:val="0"/>
              <w:autoSpaceDE/>
              <w:autoSpaceDN/>
              <w:bidi w:val="0"/>
              <w:adjustRightInd/>
              <w:snapToGrid w:val="0"/>
              <w:spacing w:line="400" w:lineRule="exact"/>
              <w:ind w:firstLine="420"/>
              <w:jc w:val="center"/>
              <w:textAlignment w:val="auto"/>
              <w:rPr>
                <w:rFonts w:hint="eastAsia" w:ascii="宋体" w:hAnsi="宋体" w:eastAsia="宋体" w:cs="宋体"/>
                <w:color w:val="000000"/>
                <w:szCs w:val="21"/>
                <w:highlight w:val="none"/>
                <w:lang w:val="en-US" w:eastAsia="zh-CN"/>
              </w:rPr>
            </w:pPr>
          </w:p>
          <w:p w14:paraId="70548222">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亚克力</w:t>
            </w:r>
          </w:p>
        </w:tc>
        <w:tc>
          <w:tcPr>
            <w:tcW w:w="4961" w:type="dxa"/>
            <w:noWrap w:val="0"/>
            <w:vAlign w:val="center"/>
          </w:tcPr>
          <w:p w14:paraId="5CF4809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阻燃亚克力</w:t>
            </w:r>
          </w:p>
          <w:p w14:paraId="62425CD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透光率不低于88％</w:t>
            </w:r>
          </w:p>
          <w:p w14:paraId="5573C00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3年内透明度、颜色不改变</w:t>
            </w:r>
          </w:p>
          <w:p w14:paraId="3249C95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达B1级防火等级。</w:t>
            </w:r>
          </w:p>
        </w:tc>
        <w:tc>
          <w:tcPr>
            <w:tcW w:w="3119" w:type="dxa"/>
            <w:noWrap w:val="0"/>
            <w:vAlign w:val="center"/>
          </w:tcPr>
          <w:p w14:paraId="42F2EA2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易加工；透光性极佳、光线柔和；</w:t>
            </w:r>
          </w:p>
          <w:p w14:paraId="67905A2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耐候性强，能经受住高温度、紫外光、强太阳光照射；耐溶剂和常用化学品；不自燃并具自熄性；没有断裂的危险；</w:t>
            </w:r>
          </w:p>
        </w:tc>
      </w:tr>
      <w:tr w14:paraId="611E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7DB259B2">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膜材料</w:t>
            </w:r>
          </w:p>
        </w:tc>
        <w:tc>
          <w:tcPr>
            <w:tcW w:w="4961" w:type="dxa"/>
            <w:noWrap w:val="0"/>
            <w:vAlign w:val="center"/>
          </w:tcPr>
          <w:p w14:paraId="6728B06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所有原材料等元件均为全新（未曾作任何用途的），颜色保持至少2年</w:t>
            </w:r>
          </w:p>
          <w:p w14:paraId="4C78D98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材料表面必须含有UV涂层面（防老化、变黄）。</w:t>
            </w:r>
          </w:p>
          <w:p w14:paraId="638C59D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透明膜透光度：达到70%——95%</w:t>
            </w:r>
          </w:p>
          <w:p w14:paraId="3DA4A44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添加防质剂；防止透明膜收缩、变形。</w:t>
            </w:r>
          </w:p>
          <w:p w14:paraId="731800B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低温凝固；保证透明膜厚度的均匀</w:t>
            </w:r>
          </w:p>
        </w:tc>
        <w:tc>
          <w:tcPr>
            <w:tcW w:w="3119" w:type="dxa"/>
            <w:noWrap w:val="0"/>
            <w:vAlign w:val="center"/>
          </w:tcPr>
          <w:p w14:paraId="602EE79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清澈透明，具有优良抗老化，抗冲击，抗剥落、抗紫外线和耐热性能而且不起泡、不隆起、不起皱。</w:t>
            </w:r>
          </w:p>
        </w:tc>
      </w:tr>
      <w:tr w14:paraId="135E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729790F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标识牌吊杆</w:t>
            </w:r>
          </w:p>
        </w:tc>
        <w:tc>
          <w:tcPr>
            <w:tcW w:w="4961" w:type="dxa"/>
            <w:noWrap w:val="0"/>
            <w:vAlign w:val="center"/>
          </w:tcPr>
          <w:p w14:paraId="7AA888F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不锈钢吊杆，壁厚3mm，烤漆处理。</w:t>
            </w:r>
          </w:p>
        </w:tc>
        <w:tc>
          <w:tcPr>
            <w:tcW w:w="3119" w:type="dxa"/>
            <w:noWrap w:val="0"/>
            <w:vAlign w:val="center"/>
          </w:tcPr>
          <w:p w14:paraId="4E9B0FD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涂层均匀，内外表面光滑，防腐锈性能好，耐腐蚀性能好。</w:t>
            </w:r>
          </w:p>
        </w:tc>
      </w:tr>
      <w:tr w14:paraId="2050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721E16A9">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外露连结件、固定件</w:t>
            </w:r>
          </w:p>
        </w:tc>
        <w:tc>
          <w:tcPr>
            <w:tcW w:w="4961" w:type="dxa"/>
            <w:noWrap w:val="0"/>
            <w:vAlign w:val="center"/>
          </w:tcPr>
          <w:p w14:paraId="17B86981">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所有金属零配件满足强度要求，没有妨碍组装的缺陷，外漏的零配件没有容易造成手部受伤的毛口、毛刺、尖角存在。</w:t>
            </w:r>
          </w:p>
        </w:tc>
        <w:tc>
          <w:tcPr>
            <w:tcW w:w="3119" w:type="dxa"/>
            <w:noWrap w:val="0"/>
            <w:vAlign w:val="center"/>
          </w:tcPr>
          <w:p w14:paraId="33933EA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具有良好的耐蚀性、耐热性、低温强度和机械性能，冲压弯曲等热加工性好，无热处理硬化现象，无磁性。</w:t>
            </w:r>
          </w:p>
        </w:tc>
      </w:tr>
      <w:tr w14:paraId="4304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4BF5057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箱体内骨架、连接及固定件</w:t>
            </w:r>
          </w:p>
        </w:tc>
        <w:tc>
          <w:tcPr>
            <w:tcW w:w="4961" w:type="dxa"/>
            <w:noWrap w:val="0"/>
            <w:vAlign w:val="center"/>
          </w:tcPr>
          <w:p w14:paraId="61B32DC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镀锌钢、符合设计要求和国家相关材料检测标准。</w:t>
            </w:r>
          </w:p>
        </w:tc>
        <w:tc>
          <w:tcPr>
            <w:tcW w:w="3119" w:type="dxa"/>
            <w:noWrap w:val="0"/>
            <w:vAlign w:val="center"/>
          </w:tcPr>
          <w:p w14:paraId="42C2A17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性能： 耐酸、耐碱、耐高温、拉力和耐磨性强</w:t>
            </w:r>
          </w:p>
        </w:tc>
      </w:tr>
      <w:tr w14:paraId="5A7E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5E8C5B7E">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电线</w:t>
            </w:r>
          </w:p>
        </w:tc>
        <w:tc>
          <w:tcPr>
            <w:tcW w:w="4961" w:type="dxa"/>
            <w:noWrap w:val="0"/>
            <w:vAlign w:val="center"/>
          </w:tcPr>
          <w:p w14:paraId="7A0BF40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低烟、无卤、阻燃，符合国家规范和设计要求。</w:t>
            </w:r>
          </w:p>
        </w:tc>
        <w:tc>
          <w:tcPr>
            <w:tcW w:w="3119" w:type="dxa"/>
            <w:noWrap w:val="0"/>
            <w:vAlign w:val="center"/>
          </w:tcPr>
          <w:p w14:paraId="518FE62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低烟、无卤、B级阻燃，需符合国家规范</w:t>
            </w:r>
          </w:p>
        </w:tc>
      </w:tr>
      <w:tr w14:paraId="296A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39AA2A5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绝缘材料及外包材料</w:t>
            </w:r>
          </w:p>
        </w:tc>
        <w:tc>
          <w:tcPr>
            <w:tcW w:w="4961" w:type="dxa"/>
            <w:noWrap w:val="0"/>
            <w:vAlign w:val="center"/>
          </w:tcPr>
          <w:p w14:paraId="17425F6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采用国家优质绝缘材料。</w:t>
            </w:r>
          </w:p>
        </w:tc>
        <w:tc>
          <w:tcPr>
            <w:tcW w:w="3119" w:type="dxa"/>
            <w:noWrap w:val="0"/>
            <w:vAlign w:val="center"/>
          </w:tcPr>
          <w:p w14:paraId="78ECFE0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低烟、低毒、防火花、阻燃</w:t>
            </w:r>
          </w:p>
        </w:tc>
      </w:tr>
      <w:tr w14:paraId="7114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7CCD8907">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环保结构胶</w:t>
            </w:r>
          </w:p>
        </w:tc>
        <w:tc>
          <w:tcPr>
            <w:tcW w:w="4961" w:type="dxa"/>
            <w:noWrap w:val="0"/>
            <w:vAlign w:val="center"/>
          </w:tcPr>
          <w:p w14:paraId="6DCD878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1）室温固化的建筑结构粘合剂，在室温下快速固化；</w:t>
            </w:r>
          </w:p>
          <w:p w14:paraId="794D510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2）具对建筑结构承载快，黏结力强，抗拔拉力大的优良性能；</w:t>
            </w:r>
          </w:p>
          <w:p w14:paraId="1DFCB2DB">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3）耐水、耐介质，耐老化性能优良，密封、防潮性好；</w:t>
            </w:r>
          </w:p>
          <w:p w14:paraId="22F6F00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4）粘接对象广泛，可粘接各种石材、大理石砼、金属等</w:t>
            </w:r>
          </w:p>
          <w:p w14:paraId="0954B6BB">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5）抗老化，人工加速老化5000小时，无变化。</w:t>
            </w:r>
          </w:p>
        </w:tc>
        <w:tc>
          <w:tcPr>
            <w:tcW w:w="3119" w:type="dxa"/>
            <w:noWrap w:val="0"/>
            <w:vAlign w:val="center"/>
          </w:tcPr>
          <w:p w14:paraId="14CA11B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表面信息内容粘贴需牢固，无翘边、翘角等现象。</w:t>
            </w:r>
          </w:p>
        </w:tc>
      </w:tr>
      <w:tr w14:paraId="2A25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3"/>
            <w:shd w:val="pct30" w:color="auto" w:fill="auto"/>
            <w:noWrap w:val="0"/>
            <w:vAlign w:val="center"/>
          </w:tcPr>
          <w:p w14:paraId="39849169">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工艺列表</w:t>
            </w:r>
          </w:p>
        </w:tc>
      </w:tr>
      <w:tr w14:paraId="5680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35311823">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标识牌面板</w:t>
            </w:r>
          </w:p>
        </w:tc>
        <w:tc>
          <w:tcPr>
            <w:tcW w:w="4961" w:type="dxa"/>
            <w:noWrap w:val="0"/>
            <w:vAlign w:val="center"/>
          </w:tcPr>
          <w:p w14:paraId="0E748A82">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采用彩色丝网印刷部分时，必须使用合适的丝印机，以保证漆膜质量。</w:t>
            </w:r>
          </w:p>
        </w:tc>
        <w:tc>
          <w:tcPr>
            <w:tcW w:w="3119" w:type="dxa"/>
            <w:noWrap w:val="0"/>
            <w:vAlign w:val="center"/>
          </w:tcPr>
          <w:p w14:paraId="39F31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3ABB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6F93035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标识系统配件要求</w:t>
            </w:r>
          </w:p>
        </w:tc>
        <w:tc>
          <w:tcPr>
            <w:tcW w:w="4961" w:type="dxa"/>
            <w:noWrap w:val="0"/>
            <w:vAlign w:val="center"/>
          </w:tcPr>
          <w:p w14:paraId="673BC0C4">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吊挂件外形要平整、棱角清晰，切口无毛刺和变形。</w:t>
            </w:r>
          </w:p>
          <w:p w14:paraId="13A6434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镀锌层</w:t>
            </w:r>
            <w:r>
              <w:rPr>
                <w:rFonts w:hint="eastAsia" w:ascii="宋体" w:hAnsi="宋体" w:cs="宋体"/>
                <w:color w:val="000000"/>
                <w:szCs w:val="21"/>
                <w:highlight w:val="none"/>
                <w:lang w:val="en-US" w:eastAsia="zh-CN"/>
              </w:rPr>
              <w:t>无</w:t>
            </w:r>
            <w:r>
              <w:rPr>
                <w:rFonts w:hint="eastAsia" w:ascii="宋体" w:hAnsi="宋体" w:eastAsia="宋体" w:cs="宋体"/>
                <w:color w:val="000000"/>
                <w:szCs w:val="21"/>
                <w:highlight w:val="none"/>
                <w:lang w:val="en-US" w:eastAsia="zh-CN"/>
              </w:rPr>
              <w:t>起皮、起瘤、脱落、腐蚀、损伤黑斑、麻点等缺陷。</w:t>
            </w:r>
          </w:p>
        </w:tc>
        <w:tc>
          <w:tcPr>
            <w:tcW w:w="3119" w:type="dxa"/>
            <w:noWrap w:val="0"/>
            <w:vAlign w:val="center"/>
          </w:tcPr>
          <w:p w14:paraId="2001B41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593C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4839CF6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灯具和配线保护</w:t>
            </w:r>
          </w:p>
        </w:tc>
        <w:tc>
          <w:tcPr>
            <w:tcW w:w="4961" w:type="dxa"/>
            <w:noWrap w:val="0"/>
            <w:vAlign w:val="center"/>
          </w:tcPr>
          <w:p w14:paraId="32D5325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喷非硬化保护漆；</w:t>
            </w:r>
          </w:p>
          <w:p w14:paraId="77DB696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内部采用低烟、无卤、B级阻燃电线并牢固固定；</w:t>
            </w:r>
          </w:p>
          <w:p w14:paraId="7DDD8CE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采用纤维保护套管；</w:t>
            </w:r>
          </w:p>
          <w:p w14:paraId="1F574EDB">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内部布线采取暗装形式，电线敷设在箱体内金属套管或走线槽内，出口处有保护套；与外接电源的接线长度须预留3m以上，加装金属蛇皮管护套，该电源线从标识牌的左上角预留孔穿出，孔边加胶塞等保护套。</w:t>
            </w:r>
          </w:p>
        </w:tc>
        <w:tc>
          <w:tcPr>
            <w:tcW w:w="3119" w:type="dxa"/>
            <w:noWrap w:val="0"/>
            <w:vAlign w:val="center"/>
          </w:tcPr>
          <w:p w14:paraId="44E0482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64B2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1D3E7E2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标识牌内部</w:t>
            </w:r>
          </w:p>
        </w:tc>
        <w:tc>
          <w:tcPr>
            <w:tcW w:w="4961" w:type="dxa"/>
            <w:noWrap w:val="0"/>
            <w:vAlign w:val="center"/>
          </w:tcPr>
          <w:p w14:paraId="42F6DF7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根据需要设置增光膜、反光膜、匀光膜。</w:t>
            </w:r>
          </w:p>
        </w:tc>
        <w:tc>
          <w:tcPr>
            <w:tcW w:w="3119" w:type="dxa"/>
            <w:noWrap w:val="0"/>
            <w:vAlign w:val="center"/>
          </w:tcPr>
          <w:p w14:paraId="54834A5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1B75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59CBCC81">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膜材料</w:t>
            </w:r>
          </w:p>
        </w:tc>
        <w:tc>
          <w:tcPr>
            <w:tcW w:w="4961" w:type="dxa"/>
            <w:noWrap w:val="0"/>
            <w:vAlign w:val="center"/>
          </w:tcPr>
          <w:p w14:paraId="539B928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从物体表面去除时不应有粘胶难以撕除等现象。</w:t>
            </w:r>
          </w:p>
          <w:p w14:paraId="3B376001">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阻光膜处镂空的图案和透光处图案须完全贴合。</w:t>
            </w:r>
          </w:p>
        </w:tc>
        <w:tc>
          <w:tcPr>
            <w:tcW w:w="3119" w:type="dxa"/>
            <w:noWrap w:val="0"/>
            <w:vAlign w:val="center"/>
          </w:tcPr>
          <w:p w14:paraId="7659807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465C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Borders>
              <w:bottom w:val="single" w:color="auto" w:sz="4" w:space="0"/>
            </w:tcBorders>
            <w:noWrap w:val="0"/>
            <w:vAlign w:val="center"/>
          </w:tcPr>
          <w:p w14:paraId="2AC3DF4E">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喷涂</w:t>
            </w:r>
          </w:p>
        </w:tc>
        <w:tc>
          <w:tcPr>
            <w:tcW w:w="4961" w:type="dxa"/>
            <w:tcBorders>
              <w:bottom w:val="single" w:color="auto" w:sz="4" w:space="0"/>
            </w:tcBorders>
            <w:noWrap w:val="0"/>
            <w:vAlign w:val="center"/>
          </w:tcPr>
          <w:p w14:paraId="5135EA1F">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喷涂前必须仔细清除物件所有灰尘、污物、染渍、油渍、风化物等。所有面漆及底料必须为优质产品。</w:t>
            </w:r>
          </w:p>
        </w:tc>
        <w:tc>
          <w:tcPr>
            <w:tcW w:w="3119" w:type="dxa"/>
            <w:tcBorders>
              <w:bottom w:val="single" w:color="auto" w:sz="4" w:space="0"/>
            </w:tcBorders>
            <w:noWrap w:val="0"/>
            <w:vAlign w:val="center"/>
          </w:tcPr>
          <w:p w14:paraId="3298479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4F84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Borders>
              <w:bottom w:val="single" w:color="auto" w:sz="4" w:space="0"/>
            </w:tcBorders>
            <w:noWrap w:val="0"/>
            <w:vAlign w:val="center"/>
          </w:tcPr>
          <w:p w14:paraId="3DB0D593">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蚀刻</w:t>
            </w:r>
          </w:p>
        </w:tc>
        <w:tc>
          <w:tcPr>
            <w:tcW w:w="4961" w:type="dxa"/>
            <w:tcBorders>
              <w:bottom w:val="single" w:color="auto" w:sz="4" w:space="0"/>
            </w:tcBorders>
            <w:noWrap w:val="0"/>
            <w:vAlign w:val="center"/>
          </w:tcPr>
          <w:p w14:paraId="002C8BFC">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所有蚀刻必须采用相片感光制版工艺，蚀刻图像或文字深度需0.05毫米以上，边缘需清晰且锐利。</w:t>
            </w:r>
          </w:p>
        </w:tc>
        <w:tc>
          <w:tcPr>
            <w:tcW w:w="3119" w:type="dxa"/>
            <w:tcBorders>
              <w:bottom w:val="single" w:color="auto" w:sz="4" w:space="0"/>
            </w:tcBorders>
            <w:noWrap w:val="0"/>
            <w:vAlign w:val="center"/>
          </w:tcPr>
          <w:p w14:paraId="1E2306C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63E3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noWrap w:val="0"/>
            <w:vAlign w:val="center"/>
          </w:tcPr>
          <w:p w14:paraId="0A16A71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彩色丝印</w:t>
            </w:r>
          </w:p>
        </w:tc>
        <w:tc>
          <w:tcPr>
            <w:tcW w:w="4961" w:type="dxa"/>
            <w:noWrap w:val="0"/>
            <w:vAlign w:val="center"/>
          </w:tcPr>
          <w:p w14:paraId="39F42096">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油墨具有耐久性及耐化学品性；色彩鲜艳准确，附</w:t>
            </w:r>
            <w:r>
              <w:rPr>
                <w:rFonts w:hint="eastAsia" w:ascii="宋体" w:hAnsi="宋体" w:cs="宋体"/>
                <w:color w:val="000000"/>
                <w:szCs w:val="21"/>
                <w:highlight w:val="none"/>
                <w:lang w:val="en-US" w:eastAsia="zh-CN"/>
              </w:rPr>
              <w:t>着力</w:t>
            </w:r>
            <w:r>
              <w:rPr>
                <w:rFonts w:hint="eastAsia" w:ascii="宋体" w:hAnsi="宋体" w:eastAsia="宋体" w:cs="宋体"/>
                <w:color w:val="000000"/>
                <w:szCs w:val="21"/>
                <w:highlight w:val="none"/>
                <w:lang w:val="en-US" w:eastAsia="zh-CN"/>
              </w:rPr>
              <w:t>强；</w:t>
            </w:r>
          </w:p>
          <w:p w14:paraId="1CEF6E31">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涂层厚度均匀，无缺陷。</w:t>
            </w:r>
          </w:p>
        </w:tc>
        <w:tc>
          <w:tcPr>
            <w:tcW w:w="3119" w:type="dxa"/>
            <w:noWrap w:val="0"/>
            <w:vAlign w:val="center"/>
          </w:tcPr>
          <w:p w14:paraId="72DF8AA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2A86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276" w:type="dxa"/>
            <w:noWrap w:val="0"/>
            <w:vAlign w:val="center"/>
          </w:tcPr>
          <w:p w14:paraId="04D7F53D">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切割</w:t>
            </w:r>
          </w:p>
        </w:tc>
        <w:tc>
          <w:tcPr>
            <w:tcW w:w="4961" w:type="dxa"/>
            <w:noWrap w:val="0"/>
            <w:vAlign w:val="center"/>
          </w:tcPr>
          <w:p w14:paraId="20FE1895">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所有材质的团级文字二维，三维切割必须为电脑数控加工，表面及切割面应光滑无毛刺。</w:t>
            </w:r>
          </w:p>
        </w:tc>
        <w:tc>
          <w:tcPr>
            <w:tcW w:w="3119" w:type="dxa"/>
            <w:noWrap w:val="0"/>
            <w:vAlign w:val="center"/>
          </w:tcPr>
          <w:p w14:paraId="763FB96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r w14:paraId="7FA6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276" w:type="dxa"/>
            <w:tcBorders>
              <w:bottom w:val="single" w:color="auto" w:sz="4" w:space="0"/>
            </w:tcBorders>
            <w:noWrap w:val="0"/>
            <w:vAlign w:val="center"/>
          </w:tcPr>
          <w:p w14:paraId="234E3479">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贴膜</w:t>
            </w:r>
          </w:p>
        </w:tc>
        <w:tc>
          <w:tcPr>
            <w:tcW w:w="4961" w:type="dxa"/>
            <w:tcBorders>
              <w:bottom w:val="single" w:color="auto" w:sz="4" w:space="0"/>
            </w:tcBorders>
            <w:noWrap w:val="0"/>
            <w:vAlign w:val="center"/>
          </w:tcPr>
          <w:p w14:paraId="2AA92600">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所有贴膜为无尘施工，完成成品应为无水印，无气泡，无伤痕。</w:t>
            </w:r>
          </w:p>
        </w:tc>
        <w:tc>
          <w:tcPr>
            <w:tcW w:w="3119" w:type="dxa"/>
            <w:tcBorders>
              <w:bottom w:val="single" w:color="auto" w:sz="4" w:space="0"/>
            </w:tcBorders>
            <w:noWrap w:val="0"/>
            <w:vAlign w:val="center"/>
          </w:tcPr>
          <w:p w14:paraId="74DE32E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tc>
      </w:tr>
    </w:tbl>
    <w:p w14:paraId="072442E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7.3.3制作工艺</w:t>
      </w:r>
    </w:p>
    <w:p w14:paraId="771DDAF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使用的铝型材制作，开槽、折弯、焊接成型后表面应无加工痕迹，其光洁度达到原材料相同水平；表面采用氟碳喷涂；</w:t>
      </w:r>
    </w:p>
    <w:p w14:paraId="49CD2C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标识牌尺寸精度应符合图纸要求，和国家相关规范要求。</w:t>
      </w:r>
    </w:p>
    <w:p w14:paraId="60F4F44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标识牌安全性、可靠性应达到本技术规格书要求。</w:t>
      </w:r>
    </w:p>
    <w:p w14:paraId="22318E6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所有标识牌零部件尺寸精度应符合标识牌总装要求，达到标准化，以便维修、更换。</w:t>
      </w:r>
    </w:p>
    <w:p w14:paraId="1207C0B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标识牌外观应美观大方，符合人体工程学和视觉审美要求，符合设计图纸的要求。</w:t>
      </w:r>
    </w:p>
    <w:p w14:paraId="4B0BB15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招标人有权对中标人制作工艺和方法提出异议，并要求中标人修改，直至符合工程需要和本技术规格书要求。</w:t>
      </w:r>
      <w:bookmarkStart w:id="97" w:name="_Toc340586385"/>
      <w:bookmarkStart w:id="98" w:name="_Toc340586919"/>
      <w:bookmarkStart w:id="99" w:name="_Toc340586561"/>
    </w:p>
    <w:bookmarkEnd w:id="97"/>
    <w:bookmarkEnd w:id="98"/>
    <w:bookmarkEnd w:id="99"/>
    <w:p w14:paraId="0E7DEDB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100" w:name="_Toc340586921"/>
      <w:bookmarkStart w:id="101" w:name="_Toc496538110"/>
      <w:bookmarkStart w:id="102" w:name="_Toc340586563"/>
      <w:bookmarkStart w:id="103" w:name="_Toc340586387"/>
      <w:r>
        <w:rPr>
          <w:rFonts w:hint="eastAsia" w:ascii="宋体" w:hAnsi="宋体" w:eastAsia="宋体" w:cs="宋体"/>
          <w:color w:val="000000"/>
          <w:szCs w:val="21"/>
          <w:highlight w:val="none"/>
          <w:lang w:val="en-US" w:eastAsia="zh-CN"/>
        </w:rPr>
        <w:t>7.4设备监造</w:t>
      </w:r>
      <w:bookmarkEnd w:id="100"/>
      <w:bookmarkEnd w:id="101"/>
      <w:bookmarkEnd w:id="102"/>
      <w:bookmarkEnd w:id="103"/>
    </w:p>
    <w:p w14:paraId="7FCAE91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中标人应对生产全过程进行控制和负责。</w:t>
      </w:r>
    </w:p>
    <w:p w14:paraId="636E7C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中标人必须向招标人提供外加工或外采购的配件明细、厂名、国别、地址、资质证明、业绩证明、相关证明材料。且在合同执行过程中不可更换配件商。</w:t>
      </w:r>
    </w:p>
    <w:p w14:paraId="1DD76B7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中标人负责采购关于导向系统的所有配件，并负责测试和验收，保证出厂的所有标识牌均为合格。</w:t>
      </w:r>
      <w:bookmarkStart w:id="104" w:name="_Toc340586922"/>
      <w:bookmarkStart w:id="105" w:name="_Toc340586388"/>
      <w:bookmarkStart w:id="106" w:name="_Toc340586564"/>
    </w:p>
    <w:p w14:paraId="4918CA0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107" w:name="_Toc496538111"/>
      <w:r>
        <w:rPr>
          <w:rFonts w:hint="eastAsia" w:ascii="宋体" w:hAnsi="宋体" w:eastAsia="宋体" w:cs="宋体"/>
          <w:color w:val="000000"/>
          <w:szCs w:val="21"/>
          <w:highlight w:val="none"/>
          <w:lang w:val="en-US" w:eastAsia="zh-CN"/>
        </w:rPr>
        <w:t>7.5 设计图样</w:t>
      </w:r>
      <w:bookmarkEnd w:id="107"/>
    </w:p>
    <w:p w14:paraId="5F76765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中标人按照招标人要求进行最终稿的设计后，需提供相应设计矢量图样给招标人，具体图样格式以招标人要求为准。</w:t>
      </w:r>
    </w:p>
    <w:p w14:paraId="231BD8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108" w:name="_Toc496538112"/>
      <w:r>
        <w:rPr>
          <w:rFonts w:hint="eastAsia" w:ascii="宋体" w:hAnsi="宋体" w:eastAsia="宋体" w:cs="宋体"/>
          <w:color w:val="000000"/>
          <w:szCs w:val="21"/>
          <w:highlight w:val="none"/>
          <w:lang w:val="en-US" w:eastAsia="zh-CN"/>
        </w:rPr>
        <w:t>7.6制作</w:t>
      </w:r>
      <w:bookmarkEnd w:id="108"/>
    </w:p>
    <w:p w14:paraId="4166198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中标人应在接到招标人需求后，安排专业人员至现场实地勘察测量，并将各种制作工艺效果图提供招标人；经招标人进行比选后，中标人按照效果图进行制作。 </w:t>
      </w:r>
    </w:p>
    <w:p w14:paraId="19CCA88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对各部件尺寸的准确性负责，并要负责提供所有与此有关的必要的仪器、设备和人手。对于工程中任何部件的任何尺寸或校准方面出现或发生的误差，中标人必须自己承担费用对误差进行纠正，直到达到招标人的要求为止。</w:t>
      </w:r>
    </w:p>
    <w:p w14:paraId="3437BCB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标识牌配件或部件应该标准化生产。</w:t>
      </w:r>
    </w:p>
    <w:p w14:paraId="318D7D1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对背板表面施用薄膜之前，必须先对背板进行适当清洁。</w:t>
      </w:r>
    </w:p>
    <w:p w14:paraId="728FAD0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109" w:name="_Toc496538113"/>
      <w:r>
        <w:rPr>
          <w:rFonts w:hint="eastAsia" w:ascii="宋体" w:hAnsi="宋体" w:eastAsia="宋体" w:cs="宋体"/>
          <w:color w:val="000000"/>
          <w:szCs w:val="21"/>
          <w:highlight w:val="none"/>
          <w:lang w:val="en-US" w:eastAsia="zh-CN"/>
        </w:rPr>
        <w:t>7.7包装、发运</w:t>
      </w:r>
      <w:bookmarkEnd w:id="109"/>
    </w:p>
    <w:p w14:paraId="363226E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制作完毕和表面处理完毕的暴露表面，在装运、搬动和安装过程中，必须用平头胶膜加以保护。</w:t>
      </w:r>
    </w:p>
    <w:p w14:paraId="4062CDA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仓储与搬动过程中，必须按照原材料制造商的指引对材料加以保护，以防止标识牌因受到潮湿、污染、温度变化、阳光直射、作业行为以及其他原因而受到破坏。</w:t>
      </w:r>
    </w:p>
    <w:p w14:paraId="555F0F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根据招标人的要求对设备进行包装并按计划准时发运每批货物至招标人指定地点。</w:t>
      </w:r>
    </w:p>
    <w:p w14:paraId="50F0F26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bookmarkStart w:id="110" w:name="_Toc496538114"/>
      <w:r>
        <w:rPr>
          <w:rFonts w:hint="eastAsia" w:ascii="宋体" w:hAnsi="宋体" w:eastAsia="宋体" w:cs="宋体"/>
          <w:color w:val="000000"/>
          <w:szCs w:val="21"/>
          <w:highlight w:val="none"/>
          <w:lang w:val="en-US" w:eastAsia="zh-CN"/>
        </w:rPr>
        <w:t>7.8保护与清洁</w:t>
      </w:r>
      <w:bookmarkEnd w:id="110"/>
    </w:p>
    <w:p w14:paraId="1EE522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产品在送运之前，必须按照原材料制造商对各元件/材料的建议对产品进行清洁，在清洁时不可以对暴露部分的表面处理造成损毁。</w:t>
      </w:r>
    </w:p>
    <w:p w14:paraId="1826132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所有产品必须得到充分保护以防在搬动中受损。</w:t>
      </w:r>
    </w:p>
    <w:p w14:paraId="58C2D04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所有产品安装完成后必须将现场清洁完成后，才能离开。</w:t>
      </w:r>
      <w:bookmarkEnd w:id="104"/>
      <w:bookmarkEnd w:id="105"/>
      <w:bookmarkEnd w:id="106"/>
    </w:p>
    <w:p w14:paraId="6227AEF3">
      <w:pPr>
        <w:keepNext w:val="0"/>
        <w:keepLines w:val="0"/>
        <w:pageBreakBefore w:val="0"/>
        <w:numPr>
          <w:ilvl w:val="0"/>
          <w:numId w:val="4"/>
        </w:numPr>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bookmarkStart w:id="111" w:name="_Toc172623579"/>
      <w:bookmarkStart w:id="112" w:name="_Toc208481058"/>
      <w:bookmarkStart w:id="113" w:name="_Toc496538115"/>
      <w:bookmarkStart w:id="114" w:name="_Toc294082658"/>
      <w:r>
        <w:rPr>
          <w:rFonts w:hint="eastAsia" w:ascii="宋体" w:hAnsi="宋体" w:eastAsia="宋体" w:cs="宋体"/>
          <w:b/>
          <w:bCs/>
          <w:color w:val="000000"/>
          <w:szCs w:val="21"/>
          <w:highlight w:val="none"/>
          <w:lang w:val="en-US" w:eastAsia="zh-CN"/>
        </w:rPr>
        <w:t>中标人的质量管理</w:t>
      </w:r>
      <w:bookmarkEnd w:id="111"/>
      <w:bookmarkEnd w:id="112"/>
      <w:bookmarkEnd w:id="113"/>
      <w:bookmarkEnd w:id="114"/>
    </w:p>
    <w:p w14:paraId="5074F7A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8.1中标人必须有明确的项目质量方针、质量目标并按此进行质量管理。</w:t>
      </w:r>
    </w:p>
    <w:p w14:paraId="27A6AF4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8.2中标人必须认真贯彻执行GB/T19001-ISO9001质量保证标准。以完整的质量管理体系对待每一项工作，从项目准备到交工的各个环节都要做到精心组织，科学管理，对施工质量严格要求。</w:t>
      </w:r>
    </w:p>
    <w:p w14:paraId="40B5E49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8.3质量保证</w:t>
      </w:r>
    </w:p>
    <w:p w14:paraId="774969C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8.3.1认真贯彻执行国家、地方、行业及招标人有关部门对设备质量的有关规范、规定和《质量管理和质量保证》体系等有关规定。</w:t>
      </w:r>
    </w:p>
    <w:p w14:paraId="709E602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8.3.2坚持把“质量第一，用户至上”作为质量控制的基本原则。</w:t>
      </w:r>
    </w:p>
    <w:p w14:paraId="0A3D3F3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8.3.3针对质量目标编制质量检验与管理体制实施细则，编制工作关键项目的施工（检修）作业技术措施或作业指导书，并严格执行，做好预防措施、控制质量通病。</w:t>
      </w:r>
    </w:p>
    <w:p w14:paraId="2F3597D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8.3.4选派作业水平较高且有丰富经验的专业人员上岗，并组织学习滁宁城际铁路设备特性和技术标准以及要求，努力提高人员的业务素质，避免人为失误。以人的工作质量保证工序质量、促工程质量，确保作业质量。</w:t>
      </w:r>
    </w:p>
    <w:p w14:paraId="786BE8B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8.3.5“以人为核心”，加强对员工的质量意识教育，充分调动所有施工人员的积极性，增强人的责任感，抓好施工过程中的质量控制，加大质量管理和质量检验力度，虚心接受招标人意见，请招标人质检人员实施监督。</w:t>
      </w:r>
    </w:p>
    <w:p w14:paraId="7C72ACF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8.3.6施工项目保证资料真实、完整、规范、及时、满足要求。</w:t>
      </w:r>
    </w:p>
    <w:p w14:paraId="5FF08B4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8.3.7项目管理标准化，施工操作规范化。</w:t>
      </w:r>
    </w:p>
    <w:p w14:paraId="2385EF7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8.3.8强化项目全过程的质量管理，在项目工作准备阶段主动与招标人取得联系，确保施工质量和项目工期。</w:t>
      </w:r>
    </w:p>
    <w:p w14:paraId="71CD36C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8.3.9加强隐蔽工程的质量管理，隐蔽工程施工（检修）必须经招标人现场质检代表检查，并办好签字手续后方可隐蔽。</w:t>
      </w:r>
    </w:p>
    <w:p w14:paraId="070BA4B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8.3.10 坚持预防为主，确保项目工程的内在质量和外观质量均符合要求。</w:t>
      </w:r>
    </w:p>
    <w:p w14:paraId="2EC28B2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8.3.11对施工（检修）用机具、设备、计量器具严格管理。对施工（检修）用检验、测量和试验设备分类按期进行校验、校准，使用前进行仔细检查，保证使用合格的计量器具。</w:t>
      </w:r>
    </w:p>
    <w:p w14:paraId="44C9EC7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8.3.12认真填写项目记录，做到不合格工序不转序，不合格项目不移交。尤其是对关键工序和特殊过程严加控制，确保工序质量。</w:t>
      </w:r>
    </w:p>
    <w:p w14:paraId="236FF7C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8.3.13认真做好每次开工作业前的准备，工作结束的质量总结。</w:t>
      </w:r>
    </w:p>
    <w:p w14:paraId="17573C6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8.3.14施工过程中发生的质量问题或质量事故要及时报告招标人和中标人的有关部门，中标人必须及时制定处理方案，经招标人和有关部门审批后</w:t>
      </w:r>
      <w:r>
        <w:rPr>
          <w:rFonts w:hint="eastAsia" w:ascii="宋体" w:hAnsi="宋体" w:cs="宋体"/>
          <w:color w:val="000000"/>
          <w:szCs w:val="21"/>
          <w:highlight w:val="none"/>
          <w:lang w:val="en-US" w:eastAsia="zh-CN"/>
        </w:rPr>
        <w:t>实施</w:t>
      </w:r>
      <w:r>
        <w:rPr>
          <w:rFonts w:hint="eastAsia" w:ascii="宋体" w:hAnsi="宋体" w:eastAsia="宋体" w:cs="宋体"/>
          <w:color w:val="000000"/>
          <w:szCs w:val="21"/>
          <w:highlight w:val="none"/>
          <w:lang w:val="en-US" w:eastAsia="zh-CN"/>
        </w:rPr>
        <w:t>。</w:t>
      </w:r>
    </w:p>
    <w:p w14:paraId="3552F5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8.3.15检测班组应对工作内容认真自检，确认合格后，再报招标人确认。</w:t>
      </w:r>
    </w:p>
    <w:p w14:paraId="04B9245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8.3.16 管理人员必须对施工现场跟踪检查，发现问题及时组织处理。</w:t>
      </w:r>
    </w:p>
    <w:p w14:paraId="621CACA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8.3.17项目工作完成后，及时整理完工资料，并交付招标人有关部门审核、确认。</w:t>
      </w:r>
    </w:p>
    <w:p w14:paraId="1F29624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8.4 质量管理组织机构及主要职责</w:t>
      </w:r>
    </w:p>
    <w:p w14:paraId="10F61C0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中标人必须提供该项目的质量管理组织架构图及各岗位的主要职责。</w:t>
      </w:r>
    </w:p>
    <w:p w14:paraId="23F97B5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8.5中标人必须有明确的安全质量检验标准及技术规范并参照执行。</w:t>
      </w:r>
    </w:p>
    <w:p w14:paraId="5444CEE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8.6 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中标人提出施工（检修）作业技术要求，中标人提出施工（检修）工艺，经招标人批准后执行。</w:t>
      </w:r>
    </w:p>
    <w:p w14:paraId="59C6919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8.7文件资料控制</w:t>
      </w:r>
    </w:p>
    <w:p w14:paraId="1B8044F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8.7.1所有与项目相关文件和记录应分别进行编号、分类、登记、发放、传递、保管和回收，必须与招标人管理同步。</w:t>
      </w:r>
    </w:p>
    <w:p w14:paraId="56EDD1A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8.7.2施工图纸及施工计划、任务单、各类施工会议纪要（记录）按程序文件的要求统一编号、分类、登记、标识、存档，按招标人批准的范围发放、传递。</w:t>
      </w:r>
    </w:p>
    <w:p w14:paraId="5E1E292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8.7.3如施工项目修改原设计，中标人必须征得招标人同意并在施工资料相应位置明确标识，并将修改存档，同时将修改指令复印件附在检修图中。对作废图纸应及时回收，交招标人统一处理。</w:t>
      </w:r>
    </w:p>
    <w:p w14:paraId="6A5394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8.7.4有一整套施工规范、标准等文件，对于标准的更新及规程、规范的变化应及时报告招标人，并在相应部位做代替说明，待业方批准后执行。</w:t>
      </w:r>
    </w:p>
    <w:p w14:paraId="01F4D5D9">
      <w:pPr>
        <w:keepNext w:val="0"/>
        <w:keepLines w:val="0"/>
        <w:pageBreakBefore w:val="0"/>
        <w:numPr>
          <w:ilvl w:val="0"/>
          <w:numId w:val="4"/>
        </w:numPr>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bookmarkStart w:id="115" w:name="_Toc208481059"/>
      <w:bookmarkStart w:id="116" w:name="_Toc172623580"/>
      <w:bookmarkStart w:id="117" w:name="_Toc294082659"/>
      <w:bookmarkStart w:id="118" w:name="_Toc496538116"/>
      <w:r>
        <w:rPr>
          <w:rFonts w:hint="eastAsia" w:ascii="宋体" w:hAnsi="宋体" w:eastAsia="宋体" w:cs="宋体"/>
          <w:b/>
          <w:bCs/>
          <w:color w:val="000000"/>
          <w:szCs w:val="21"/>
          <w:highlight w:val="none"/>
          <w:lang w:val="en-US" w:eastAsia="zh-CN"/>
        </w:rPr>
        <w:t>中标人的安全管理</w:t>
      </w:r>
      <w:bookmarkEnd w:id="115"/>
      <w:bookmarkEnd w:id="116"/>
      <w:bookmarkEnd w:id="117"/>
      <w:bookmarkEnd w:id="118"/>
    </w:p>
    <w:p w14:paraId="413FD68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9.1 中标人必须有明确的该项目的安全目标、安全指标并进行安全管理。</w:t>
      </w:r>
    </w:p>
    <w:p w14:paraId="4321465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9.2 中标人必须提供该项目的安全控制组织架构及主要岗位职责。</w:t>
      </w:r>
    </w:p>
    <w:p w14:paraId="0696A11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9.3安全控制管理制度</w:t>
      </w:r>
    </w:p>
    <w:p w14:paraId="66008E8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9.3.1在作业过程中，首先牢固树立“安全</w:t>
      </w:r>
      <w:r>
        <w:rPr>
          <w:rFonts w:hint="eastAsia" w:ascii="宋体" w:hAnsi="宋体" w:cs="宋体"/>
          <w:color w:val="000000"/>
          <w:szCs w:val="21"/>
          <w:highlight w:val="none"/>
          <w:lang w:val="en-US" w:eastAsia="zh-CN"/>
        </w:rPr>
        <w:t>第一，</w:t>
      </w:r>
      <w:r>
        <w:rPr>
          <w:rFonts w:hint="eastAsia" w:ascii="宋体" w:hAnsi="宋体" w:eastAsia="宋体" w:cs="宋体"/>
          <w:color w:val="000000"/>
          <w:szCs w:val="21"/>
          <w:highlight w:val="none"/>
          <w:lang w:val="en-US" w:eastAsia="zh-CN"/>
        </w:rPr>
        <w:t>预防为主”的思想。</w:t>
      </w:r>
    </w:p>
    <w:p w14:paraId="30548C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9.3.2全面执行中标人发布的安全管理制度：</w:t>
      </w:r>
    </w:p>
    <w:p w14:paraId="3B45AC3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9.3.3全面执行招标人发布的安全管理制度。</w:t>
      </w:r>
    </w:p>
    <w:p w14:paraId="17DB4CE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9.4安全组织、技术措施</w:t>
      </w:r>
    </w:p>
    <w:p w14:paraId="7BAA67B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遵照现行国家及有关部门的安全法规、规范、规定对本项目进行安全管理、健康管理、环境管理，确保安全施工，杜绝一切人身伤亡事故。要有完整的安全管理组织体制，有专兼职安全干部，安全员负责设备检测和日常的安全、防火工作等。</w:t>
      </w:r>
    </w:p>
    <w:p w14:paraId="7C4845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实行“三级”安全管理，坚持“管理施工的同时必须抓安全”，“行政负责人是第一安全责任人”的原则，开展好正常的安全活动。中标人对本合同工作范围内的安全、消防等负责，对本单位进场人员安全工作负责。</w:t>
      </w:r>
    </w:p>
    <w:p w14:paraId="5FD410B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9.4.3强化各级安全监察网络，一级抓一级，层层落实安全生产责任制，抓好安全基础工作，重点放在预防上，有针对性地开展好作业前的安全预想预防工作，在布置工作的同时也要布置安全，认真做好内部的各种</w:t>
      </w:r>
      <w:r>
        <w:rPr>
          <w:rFonts w:hint="eastAsia" w:ascii="宋体" w:hAnsi="宋体" w:cs="宋体"/>
          <w:color w:val="000000"/>
          <w:szCs w:val="21"/>
          <w:highlight w:val="none"/>
          <w:lang w:val="en-US" w:eastAsia="zh-CN"/>
        </w:rPr>
        <w:t>安全管理台账</w:t>
      </w:r>
      <w:r>
        <w:rPr>
          <w:rFonts w:hint="eastAsia" w:ascii="宋体" w:hAnsi="宋体" w:eastAsia="宋体" w:cs="宋体"/>
          <w:color w:val="000000"/>
          <w:szCs w:val="21"/>
          <w:highlight w:val="none"/>
          <w:lang w:val="en-US" w:eastAsia="zh-CN"/>
        </w:rPr>
        <w:t>。</w:t>
      </w:r>
    </w:p>
    <w:p w14:paraId="32FD941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9.4.4制定或执行招标人制定的安全管理制度、安全操作规程及安全奖惩办法等规章制度，强化安全管理。</w:t>
      </w:r>
    </w:p>
    <w:p w14:paraId="38CE353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9.4.5推行安全风险责任制，与招标人签订《安全协议》，缴纳安全保证金。执行《“安全风险抵押金”制度》，从维保负责人到施工人员，逐级签订安全风险责任书。</w:t>
      </w:r>
    </w:p>
    <w:p w14:paraId="1076442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9.4.6专、兼职安全员固定在作业现场，掌握安全动态，加强安全监督管理，抓好安全措施的落实，及时向维保负责人提供安全信息，协助抓好整个项目的安全工作。</w:t>
      </w:r>
    </w:p>
    <w:p w14:paraId="184FF62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9.4.7施工班长、安全员都有责任搞好本单位的施工安全。凡发现有违反安全操作规程者，有权令其停止工作。</w:t>
      </w:r>
    </w:p>
    <w:p w14:paraId="1C0C542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9.4.8加强对职工的安全教育，定期组织安全学习，施工中严格执行安全措施和安全规程，狠抓安全措施的落实，防患于未然。</w:t>
      </w:r>
    </w:p>
    <w:p w14:paraId="7DC0D50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9.4.9在危险作业区域和交叉作业区域，增加临时性安全监察岗，加强预控和监督。</w:t>
      </w:r>
    </w:p>
    <w:p w14:paraId="5168C00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9.4.10各级领导和业务部门定期深入作业现场，进行安全大检查，查思想、查管理、查落实，查隐患，对安全上的薄弱环节绝不放过。</w:t>
      </w:r>
    </w:p>
    <w:p w14:paraId="35F1B0E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9.4.11坚持文明施工，保证施工机械、设备完好和清洁，安全操作规程齐全，持证上岗，施工现场的安全管理、安全设施、安全工器具要符合规定。</w:t>
      </w:r>
    </w:p>
    <w:p w14:paraId="5236017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9.4.12搞好季节施工，针对节假日的职工安全意识松散心理，做好预防措施，合理安排作业，保证作业安全。</w:t>
      </w:r>
    </w:p>
    <w:p w14:paraId="1944176A">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9.4.13作业现场设置安全标志，安全员上岗监督，作业人员一律戴安全帽，闲杂人员不得进入作业现场；登高时必须佩戴好安全带及安全绳后才能进行高空作业，严禁高空落物。</w:t>
      </w:r>
    </w:p>
    <w:p w14:paraId="3D270BC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9.4.14施工中严格按照安规办事，施工现场坚持特殊工种80%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2FE136B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9.4.15各分项作业都制定明确的安全保证措施，贯彻执行于作业的全过程。</w:t>
      </w:r>
    </w:p>
    <w:p w14:paraId="3A79BDC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9.4.16加强对机具设备的维护管理，操作前检查；操作人员必须经考试合格，才能上岗，其他人员不能顶岗操作。</w:t>
      </w:r>
    </w:p>
    <w:p w14:paraId="69939F8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9.4.17加强对车辆使用的管理，加强车辆保养和司机安全意识教育；加强所有作业人员在隧道中行走的安全教育，防止行车伤害，杜绝交通事故发生。</w:t>
      </w:r>
    </w:p>
    <w:p w14:paraId="35CE05A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9.4.18作业用临时电源箱，下班后应将闸刀拉开上锁，所有机电设备都应设接地接零等保护装置，严禁乱拉、乱接电源线。</w:t>
      </w:r>
    </w:p>
    <w:p w14:paraId="04EC8F5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9.4.19夏季施工应做好防暑降温工作。</w:t>
      </w:r>
    </w:p>
    <w:p w14:paraId="71C22A4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9.4.20工作负责人必须办理许可手续后方可带领工作人员进入工作现场。</w:t>
      </w:r>
    </w:p>
    <w:p w14:paraId="08DE149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9.4.21在危险区域动火必须到招标人安保部办理动火证。并派专人监护，方可实施。</w:t>
      </w:r>
    </w:p>
    <w:p w14:paraId="6C313B5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9.4.22对设备缺陷的处理工作，必须在工作前将缺陷发生的原因、处理的方法以及处理工作时对现场条件的要求、工作中的安全注意事项等核查清楚。</w:t>
      </w:r>
    </w:p>
    <w:p w14:paraId="73C953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9.4.23对大型作业等较为复杂的施工作业项目，有关人员必须在施工前</w:t>
      </w:r>
      <w:r>
        <w:rPr>
          <w:rFonts w:hint="eastAsia" w:ascii="宋体" w:hAnsi="宋体" w:cs="宋体"/>
          <w:color w:val="000000"/>
          <w:szCs w:val="21"/>
          <w:highlight w:val="none"/>
          <w:lang w:val="en-US" w:eastAsia="zh-CN"/>
        </w:rPr>
        <w:t>深入</w:t>
      </w:r>
      <w:r>
        <w:rPr>
          <w:rFonts w:hint="eastAsia" w:ascii="宋体" w:hAnsi="宋体" w:eastAsia="宋体" w:cs="宋体"/>
          <w:color w:val="000000"/>
          <w:szCs w:val="21"/>
          <w:highlight w:val="none"/>
          <w:lang w:val="en-US" w:eastAsia="zh-CN"/>
        </w:rPr>
        <w:t>现场，对大型施工机械的行走路线和工作位置以及对施工构成障碍的物体等核查清楚，以确定可行的施工方案和作业中的不安全因素，制定可靠的安全防范措施。</w:t>
      </w:r>
    </w:p>
    <w:p w14:paraId="19C7D05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9.4.24保证作业区内的清洁卫生。</w:t>
      </w:r>
    </w:p>
    <w:p w14:paraId="10767EF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9.4.25爱护招标人的现场设施。</w:t>
      </w:r>
    </w:p>
    <w:p w14:paraId="62A34EA8">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9.4.26中标人人员必须严格遵守招标人及中标人规定的劳动纪律，中标人规定的劳动纪律及各类规章制度、规程不得与招标人的规章制度、规程相违背。</w:t>
      </w:r>
    </w:p>
    <w:p w14:paraId="7C386610">
      <w:pPr>
        <w:keepNext w:val="0"/>
        <w:keepLines w:val="0"/>
        <w:pageBreakBefore w:val="0"/>
        <w:numPr>
          <w:ilvl w:val="0"/>
          <w:numId w:val="4"/>
        </w:numPr>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bookmarkStart w:id="119" w:name="_Toc294082660"/>
      <w:bookmarkStart w:id="120" w:name="_Toc172623581"/>
      <w:bookmarkStart w:id="121" w:name="_Toc496538117"/>
      <w:bookmarkStart w:id="122" w:name="_Toc208481060"/>
      <w:r>
        <w:rPr>
          <w:rFonts w:hint="eastAsia" w:ascii="宋体" w:hAnsi="宋体" w:eastAsia="宋体" w:cs="宋体"/>
          <w:b/>
          <w:bCs/>
          <w:color w:val="000000"/>
          <w:szCs w:val="21"/>
          <w:highlight w:val="none"/>
          <w:lang w:val="en-US" w:eastAsia="zh-CN"/>
        </w:rPr>
        <w:t>中标人的文明施工管理</w:t>
      </w:r>
      <w:bookmarkEnd w:id="119"/>
      <w:bookmarkEnd w:id="120"/>
      <w:bookmarkEnd w:id="121"/>
      <w:bookmarkEnd w:id="122"/>
    </w:p>
    <w:p w14:paraId="1A84597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10.1施工过程中，严格按照“规范化管理、标准化作业”规定要求，实施文明施工管理。</w:t>
      </w:r>
    </w:p>
    <w:p w14:paraId="5C240F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10.2作业过程中，中标人应合理地保持作业现场中不出现不必要的障碍，处置好作业设备及多余材料，保持现场整洁和道路畅通。</w:t>
      </w:r>
    </w:p>
    <w:p w14:paraId="34D8F2F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10.3保护施工区域内各种管线、输电及通信线路、控制开关、生产通道、测量标点等，不得随意破坏、操作、占用。如与其他施工平面发生矛盾，应事先通报招标人，在得到招标人同意后方可按要求执行。如发现未经请示同意而擅自行事，将视其具体情况给予罚款处理。</w:t>
      </w:r>
    </w:p>
    <w:p w14:paraId="77E287C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10.4必须负责施工现场日常卫生清理工作，保证公共环境整洁。</w:t>
      </w:r>
    </w:p>
    <w:p w14:paraId="14E730E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10.5运至施工现场的备品备件，剩余部分由中标人及时回收，并放到招标人指定的地点。</w:t>
      </w:r>
    </w:p>
    <w:p w14:paraId="7C9DE8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10.6施工现场讲文明、讲礼貌，遇事商量解决，严禁打架、斗殴。</w:t>
      </w:r>
    </w:p>
    <w:p w14:paraId="70DB68FC">
      <w:pPr>
        <w:keepNext w:val="0"/>
        <w:keepLines w:val="0"/>
        <w:pageBreakBefore w:val="0"/>
        <w:numPr>
          <w:ilvl w:val="0"/>
          <w:numId w:val="4"/>
        </w:numPr>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b/>
          <w:bCs/>
          <w:color w:val="000000"/>
          <w:szCs w:val="21"/>
          <w:highlight w:val="none"/>
          <w:lang w:val="en-US" w:eastAsia="zh-CN"/>
        </w:rPr>
      </w:pPr>
      <w:bookmarkStart w:id="123" w:name="_Toc496538118"/>
      <w:bookmarkStart w:id="124" w:name="_Toc294082654"/>
      <w:bookmarkStart w:id="125" w:name="_Toc172623575"/>
      <w:bookmarkStart w:id="126" w:name="_Toc208481054"/>
      <w:bookmarkStart w:id="127" w:name="_Toc131471605"/>
      <w:r>
        <w:rPr>
          <w:rFonts w:hint="eastAsia" w:ascii="宋体" w:hAnsi="宋体" w:eastAsia="宋体" w:cs="宋体"/>
          <w:b/>
          <w:bCs/>
          <w:color w:val="000000"/>
          <w:szCs w:val="21"/>
          <w:highlight w:val="none"/>
          <w:lang w:val="en-US" w:eastAsia="zh-CN"/>
        </w:rPr>
        <w:t>施工制度</w:t>
      </w:r>
      <w:bookmarkEnd w:id="123"/>
      <w:bookmarkEnd w:id="124"/>
      <w:bookmarkEnd w:id="125"/>
      <w:bookmarkEnd w:id="126"/>
      <w:bookmarkEnd w:id="127"/>
    </w:p>
    <w:p w14:paraId="294998F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11.1请、销点制度：进入车站作业必须先到车站请点，经确认作业令后方可进行作业，作业完后工器具材料和人员必须出清，并到车站进行销点。</w:t>
      </w:r>
    </w:p>
    <w:p w14:paraId="101DB6A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11.2 跟踪及抽检制度：施工项目实施过程中，招标人人员有权对中标人人员施工质量进行过程跟踪或抽检，发现不符合要求的地方，及时提出、整改；当施工按计划完成有困难时，中标人应及时调整人力、物力或采取相应措施，并向招标人报告，否则按不完成项目考核。</w:t>
      </w:r>
    </w:p>
    <w:p w14:paraId="2C5D280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11.3 项目完工交付制度：施工项目完工后，经双方人员检查、验收确认后，才能投入试验与运行。中标人在施工项目结束后第二天，将施工项目、时间、完成情况，以书面形式交招标人审定。</w:t>
      </w:r>
    </w:p>
    <w:p w14:paraId="4BEBD35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lang w:val="en-US" w:eastAsia="zh-CN"/>
        </w:rPr>
      </w:pPr>
    </w:p>
    <w:p w14:paraId="0BF057C0">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br w:type="page"/>
      </w:r>
    </w:p>
    <w:p w14:paraId="2C878109">
      <w:pPr>
        <w:snapToGrid w:val="0"/>
        <w:spacing w:line="400" w:lineRule="exact"/>
        <w:ind w:firstLine="420"/>
        <w:jc w:val="center"/>
        <w:rPr>
          <w:rFonts w:ascii="宋体" w:hAnsi="Times New Roman" w:eastAsia="宋体" w:cs="Times New Roman"/>
          <w:b/>
          <w:sz w:val="32"/>
          <w:szCs w:val="32"/>
          <w:highlight w:val="none"/>
        </w:rPr>
      </w:pPr>
      <w:bookmarkStart w:id="128" w:name="_Toc21484"/>
      <w:r>
        <w:rPr>
          <w:rFonts w:hint="eastAsia" w:ascii="宋体" w:hAnsi="Times New Roman" w:eastAsia="宋体" w:cs="Times New Roman"/>
          <w:b/>
          <w:sz w:val="32"/>
          <w:szCs w:val="32"/>
          <w:highlight w:val="none"/>
        </w:rPr>
        <w:t>第六章  合同条款及格式</w:t>
      </w:r>
      <w:bookmarkEnd w:id="128"/>
    </w:p>
    <w:p w14:paraId="5F2BD11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甲方（委托方）：</w:t>
      </w:r>
      <w:r>
        <w:rPr>
          <w:rFonts w:hint="eastAsia" w:ascii="宋体" w:hAnsi="宋体" w:eastAsia="宋体" w:cs="宋体"/>
          <w:sz w:val="21"/>
          <w:szCs w:val="21"/>
          <w:highlight w:val="none"/>
          <w:u w:val="single"/>
          <w:lang w:eastAsia="zh-CN"/>
        </w:rPr>
        <w:t>滁州市轨道交通运营有限公司</w:t>
      </w:r>
    </w:p>
    <w:p w14:paraId="185E595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乙方（受托方）:  ________________________     </w:t>
      </w:r>
    </w:p>
    <w:p w14:paraId="27FE5A97">
      <w:pPr>
        <w:pStyle w:val="5"/>
        <w:keepNext w:val="0"/>
        <w:keepLines w:val="0"/>
        <w:pageBreakBefore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根据《中华人民共和国民法典》等法律法规的相关规定，本着自愿、平等、诚信的原则，经双方协商一致，就甲方委托乙方提供</w:t>
      </w:r>
      <w:r>
        <w:rPr>
          <w:rFonts w:hint="eastAsia" w:ascii="宋体" w:hAnsi="宋体" w:eastAsia="宋体" w:cs="宋体"/>
          <w:sz w:val="21"/>
          <w:szCs w:val="21"/>
          <w:highlight w:val="none"/>
          <w:u w:val="single" w:color="auto"/>
          <w:lang w:eastAsia="zh-CN"/>
        </w:rPr>
        <w:t>【</w:t>
      </w:r>
      <w:r>
        <w:rPr>
          <w:rFonts w:hint="eastAsia" w:ascii="宋体" w:hAnsi="宋体" w:cs="宋体"/>
          <w:color w:val="auto"/>
          <w:kern w:val="2"/>
          <w:sz w:val="21"/>
          <w:szCs w:val="21"/>
          <w:highlight w:val="none"/>
          <w:u w:val="single" w:color="auto"/>
          <w:lang w:val="en-US" w:eastAsia="zh-CN" w:bidi="ar-SA"/>
        </w:rPr>
        <w:t>滁州轨道运营VI标识标牌制作安装项目（2026年—2027年）</w:t>
      </w:r>
      <w:r>
        <w:rPr>
          <w:rFonts w:hint="eastAsia" w:ascii="宋体" w:hAnsi="宋体" w:eastAsia="宋体" w:cs="宋体"/>
          <w:sz w:val="21"/>
          <w:szCs w:val="21"/>
          <w:highlight w:val="none"/>
          <w:u w:val="single" w:color="auto"/>
          <w:lang w:eastAsia="zh-CN"/>
        </w:rPr>
        <w:t>】</w:t>
      </w:r>
      <w:r>
        <w:rPr>
          <w:rFonts w:hint="eastAsia" w:ascii="宋体" w:hAnsi="宋体" w:eastAsia="宋体" w:cs="宋体"/>
          <w:sz w:val="21"/>
          <w:szCs w:val="21"/>
          <w:highlight w:val="none"/>
          <w:lang w:eastAsia="zh-CN"/>
        </w:rPr>
        <w:t>服务相关事宜，签订本合同，以资共同遵守。</w:t>
      </w:r>
    </w:p>
    <w:p w14:paraId="49895610">
      <w:pPr>
        <w:spacing w:line="360" w:lineRule="auto"/>
        <w:ind w:firstLine="420" w:firstLineChars="200"/>
        <w:rPr>
          <w:rFonts w:hint="eastAsia" w:ascii="宋体" w:hAnsi="宋体" w:eastAsia="宋体" w:cs="宋体"/>
          <w:sz w:val="21"/>
          <w:szCs w:val="21"/>
          <w:highlight w:val="none"/>
          <w:lang w:eastAsia="zh-CN"/>
        </w:rPr>
      </w:pPr>
    </w:p>
    <w:p w14:paraId="06CACEDF">
      <w:pPr>
        <w:spacing w:line="360" w:lineRule="auto"/>
        <w:rPr>
          <w:rFonts w:ascii="宋体" w:hAnsi="宋体" w:eastAsia="宋体" w:cs="宋体"/>
          <w:b/>
          <w:sz w:val="21"/>
          <w:szCs w:val="21"/>
          <w:highlight w:val="none"/>
          <w:lang w:eastAsia="zh-CN"/>
        </w:rPr>
      </w:pPr>
      <w:bookmarkStart w:id="129" w:name="_Toc152571734"/>
      <w:bookmarkStart w:id="130" w:name="_Toc376824508"/>
      <w:bookmarkStart w:id="131" w:name="_Toc376824481"/>
      <w:bookmarkStart w:id="132" w:name="_Toc376824381"/>
      <w:r>
        <w:rPr>
          <w:rFonts w:hint="eastAsia" w:ascii="宋体" w:hAnsi="宋体" w:eastAsia="宋体" w:cs="宋体"/>
          <w:b/>
          <w:sz w:val="21"/>
          <w:szCs w:val="21"/>
          <w:highlight w:val="none"/>
          <w:lang w:eastAsia="zh-CN"/>
        </w:rPr>
        <w:t>第一条  服务事项</w:t>
      </w:r>
    </w:p>
    <w:p w14:paraId="3A4997AB">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1.1 服务内容</w:t>
      </w:r>
    </w:p>
    <w:p w14:paraId="5B274310">
      <w:pPr>
        <w:spacing w:line="360" w:lineRule="auto"/>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1.在甲方要求的时间内，乙方向甲方提供【</w:t>
      </w:r>
      <w:r>
        <w:rPr>
          <w:rFonts w:hint="eastAsia" w:ascii="宋体" w:hAnsi="宋体" w:eastAsia="宋体" w:cs="宋体"/>
          <w:sz w:val="21"/>
          <w:szCs w:val="21"/>
          <w:highlight w:val="none"/>
          <w:u w:val="single"/>
          <w:lang w:eastAsia="zh-CN"/>
        </w:rPr>
        <w:t xml:space="preserve">            的技术服务，包括         等，以满足甲方              需求。】</w:t>
      </w:r>
    </w:p>
    <w:p w14:paraId="6FEC11F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2.乙方应当按照甲方指定的项目、服务内容和服务进度安排提供相应技术服务，具体服务事项以合同附件一用户需求书或甲方的书面要求为准。</w:t>
      </w:r>
    </w:p>
    <w:p w14:paraId="609D4402">
      <w:pPr>
        <w:spacing w:line="360" w:lineRule="auto"/>
        <w:rPr>
          <w:rFonts w:ascii="宋体" w:hAnsi="宋体" w:eastAsia="宋体" w:cs="宋体"/>
          <w:sz w:val="21"/>
          <w:szCs w:val="21"/>
          <w:highlight w:val="none"/>
          <w:lang w:eastAsia="zh-CN"/>
        </w:rPr>
      </w:pPr>
      <w:r>
        <w:rPr>
          <w:rFonts w:hint="eastAsia" w:ascii="宋体" w:hAnsi="宋体" w:eastAsia="宋体" w:cs="宋体"/>
          <w:b/>
          <w:bCs/>
          <w:sz w:val="21"/>
          <w:szCs w:val="21"/>
          <w:highlight w:val="none"/>
          <w:lang w:eastAsia="zh-CN"/>
        </w:rPr>
        <w:t>1.2 服务期限</w:t>
      </w:r>
    </w:p>
    <w:p w14:paraId="0FE0E9D3">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除非根据本合同条款延期或提前终止，本合同项下服务期限自____年__月__日起</w:t>
      </w:r>
      <w:r>
        <w:rPr>
          <w:rFonts w:hint="eastAsia" w:ascii="宋体" w:hAnsi="宋体" w:eastAsia="宋体" w:cs="宋体"/>
          <w:color w:val="C00000"/>
          <w:sz w:val="21"/>
          <w:szCs w:val="21"/>
          <w:highlight w:val="none"/>
          <w:lang w:eastAsia="zh-CN"/>
        </w:rPr>
        <w:t>至____年__月__日。</w:t>
      </w:r>
    </w:p>
    <w:p w14:paraId="7BC0D33C">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1.3 服务验收标准</w:t>
      </w:r>
    </w:p>
    <w:p w14:paraId="0FABA1A8">
      <w:pPr>
        <w:spacing w:line="360" w:lineRule="auto"/>
        <w:ind w:firstLine="536"/>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p>
    <w:p w14:paraId="5C641AD3">
      <w:pPr>
        <w:spacing w:line="360" w:lineRule="auto"/>
        <w:rPr>
          <w:rFonts w:hint="eastAsia" w:ascii="宋体" w:hAnsi="宋体" w:eastAsia="宋体" w:cs="宋体"/>
          <w:b/>
          <w:sz w:val="21"/>
          <w:szCs w:val="21"/>
          <w:highlight w:val="none"/>
          <w:lang w:eastAsia="zh-CN"/>
        </w:rPr>
      </w:pPr>
      <w:bookmarkStart w:id="133" w:name="_Toc298258571"/>
      <w:bookmarkStart w:id="134" w:name="_Toc424651533"/>
      <w:bookmarkStart w:id="135" w:name="_Toc297806527"/>
      <w:bookmarkStart w:id="136" w:name="_Toc221503541"/>
      <w:bookmarkStart w:id="137" w:name="_Toc297806550"/>
    </w:p>
    <w:p w14:paraId="06F0F746">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第二条  承诺及保证</w:t>
      </w:r>
      <w:bookmarkEnd w:id="133"/>
      <w:bookmarkEnd w:id="134"/>
      <w:bookmarkEnd w:id="135"/>
      <w:bookmarkEnd w:id="136"/>
      <w:bookmarkEnd w:id="137"/>
    </w:p>
    <w:p w14:paraId="48DAF73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2.1 双方承诺及保证</w:t>
      </w:r>
    </w:p>
    <w:p w14:paraId="0AD8830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1.双方均系依照中国法律设立并合法、有效存续的公司或组织，完全有权签订本合同，并且有能力履行本合同项下义务；</w:t>
      </w:r>
    </w:p>
    <w:p w14:paraId="65B35729">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0C028126">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15A10A59">
      <w:pPr>
        <w:spacing w:line="360" w:lineRule="auto"/>
        <w:rPr>
          <w:rFonts w:hint="eastAsia" w:ascii="宋体" w:hAnsi="宋体" w:eastAsia="宋体" w:cs="宋体"/>
          <w:b/>
          <w:sz w:val="21"/>
          <w:szCs w:val="21"/>
          <w:highlight w:val="none"/>
          <w:lang w:eastAsia="zh-CN"/>
        </w:rPr>
      </w:pPr>
      <w:bookmarkStart w:id="138" w:name="_Toc297806551"/>
      <w:bookmarkStart w:id="139" w:name="_Toc297806528"/>
      <w:r>
        <w:rPr>
          <w:rFonts w:hint="eastAsia" w:ascii="宋体" w:hAnsi="宋体" w:eastAsia="宋体" w:cs="宋体"/>
          <w:b/>
          <w:sz w:val="21"/>
          <w:szCs w:val="21"/>
          <w:highlight w:val="none"/>
          <w:lang w:eastAsia="zh-CN"/>
        </w:rPr>
        <w:t>2.2 乙方承诺及保证</w:t>
      </w:r>
      <w:bookmarkEnd w:id="138"/>
      <w:bookmarkEnd w:id="139"/>
    </w:p>
    <w:p w14:paraId="5F7142A4">
      <w:pPr>
        <w:spacing w:line="360" w:lineRule="auto"/>
        <w:rPr>
          <w:rFonts w:hint="eastAsia" w:ascii="宋体" w:hAnsi="宋体" w:eastAsia="宋体" w:cs="宋体"/>
          <w:sz w:val="21"/>
          <w:szCs w:val="21"/>
          <w:highlight w:val="none"/>
          <w:lang w:eastAsia="zh-CN"/>
        </w:rPr>
      </w:pPr>
      <w:r>
        <w:rPr>
          <w:rFonts w:hint="eastAsia" w:ascii="宋体" w:hAnsi="宋体" w:eastAsia="宋体" w:cs="宋体"/>
          <w:b/>
          <w:sz w:val="21"/>
          <w:szCs w:val="21"/>
          <w:highlight w:val="none"/>
          <w:lang w:eastAsia="zh-CN"/>
        </w:rPr>
        <w:t xml:space="preserve">    </w:t>
      </w:r>
      <w:r>
        <w:rPr>
          <w:rFonts w:hint="eastAsia" w:ascii="宋体" w:hAnsi="宋体" w:eastAsia="宋体" w:cs="宋体"/>
          <w:sz w:val="21"/>
          <w:szCs w:val="21"/>
          <w:highlight w:val="none"/>
          <w:lang w:eastAsia="zh-CN"/>
        </w:rPr>
        <w:t>1.乙方保证其具有向甲方提供本合同约定的技术服务的相关资质；</w:t>
      </w:r>
    </w:p>
    <w:p w14:paraId="23B4B10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    2.乙方提供的服务和提交的工作成果将符合所有适用的专业标准与规定，不会侵犯任何第三方所拥有的知识产权；</w:t>
      </w:r>
    </w:p>
    <w:p w14:paraId="2DFE553C">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3.乙方保证向甲方提供的与服务事项及服务人员相关的全部资料均真实、全面；</w:t>
      </w:r>
    </w:p>
    <w:p w14:paraId="12F8D828">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056BC625">
      <w:pPr>
        <w:spacing w:line="360" w:lineRule="auto"/>
        <w:ind w:firstLine="420" w:firstLineChars="200"/>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5.其他承诺与保证：__________。</w:t>
      </w:r>
      <w:bookmarkStart w:id="140" w:name="_Toc297806529"/>
      <w:bookmarkStart w:id="141" w:name="_Toc424651534"/>
      <w:bookmarkStart w:id="142" w:name="_Toc298258572"/>
      <w:bookmarkStart w:id="143" w:name="_Toc297806552"/>
      <w:bookmarkStart w:id="144" w:name="_Toc221503542"/>
    </w:p>
    <w:p w14:paraId="4AAD3F3F">
      <w:pPr>
        <w:spacing w:line="360" w:lineRule="auto"/>
        <w:rPr>
          <w:rFonts w:hint="eastAsia" w:ascii="宋体" w:hAnsi="宋体" w:eastAsia="宋体" w:cs="宋体"/>
          <w:b/>
          <w:sz w:val="21"/>
          <w:szCs w:val="21"/>
          <w:highlight w:val="none"/>
          <w:lang w:eastAsia="zh-CN"/>
        </w:rPr>
      </w:pPr>
    </w:p>
    <w:p w14:paraId="2649F2A0">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第三条  乙方的服务团队</w:t>
      </w:r>
      <w:bookmarkEnd w:id="140"/>
      <w:bookmarkEnd w:id="141"/>
      <w:bookmarkEnd w:id="142"/>
      <w:bookmarkEnd w:id="143"/>
      <w:bookmarkEnd w:id="144"/>
    </w:p>
    <w:p w14:paraId="2C05CDF4">
      <w:pPr>
        <w:spacing w:line="360" w:lineRule="auto"/>
        <w:rPr>
          <w:rFonts w:hint="eastAsia" w:ascii="宋体" w:hAnsi="宋体" w:eastAsia="宋体" w:cs="宋体"/>
          <w:sz w:val="21"/>
          <w:szCs w:val="21"/>
          <w:highlight w:val="none"/>
          <w:lang w:eastAsia="zh-CN"/>
        </w:rPr>
      </w:pPr>
      <w:bookmarkStart w:id="145" w:name="_Toc297806553"/>
      <w:bookmarkStart w:id="146" w:name="_Toc297806530"/>
      <w:r>
        <w:rPr>
          <w:rFonts w:hint="eastAsia" w:ascii="宋体" w:hAnsi="宋体" w:eastAsia="宋体" w:cs="宋体"/>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145"/>
      <w:bookmarkEnd w:id="146"/>
      <w:r>
        <w:rPr>
          <w:rFonts w:hint="eastAsia" w:ascii="宋体" w:hAnsi="宋体" w:eastAsia="宋体" w:cs="宋体"/>
          <w:sz w:val="21"/>
          <w:szCs w:val="21"/>
          <w:highlight w:val="none"/>
          <w:lang w:eastAsia="zh-CN"/>
        </w:rPr>
        <w:t>。</w:t>
      </w:r>
    </w:p>
    <w:p w14:paraId="02DF717B">
      <w:pPr>
        <w:spacing w:line="360" w:lineRule="auto"/>
        <w:rPr>
          <w:rFonts w:hint="eastAsia" w:ascii="宋体" w:hAnsi="宋体" w:eastAsia="宋体" w:cs="宋体"/>
          <w:sz w:val="21"/>
          <w:szCs w:val="21"/>
          <w:highlight w:val="none"/>
          <w:lang w:eastAsia="zh-CN"/>
        </w:rPr>
      </w:pPr>
      <w:bookmarkStart w:id="147" w:name="_Toc297806531"/>
      <w:bookmarkStart w:id="148" w:name="_Toc297806554"/>
      <w:r>
        <w:rPr>
          <w:rFonts w:hint="eastAsia" w:ascii="宋体" w:hAnsi="宋体" w:eastAsia="宋体" w:cs="宋体"/>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147"/>
      <w:bookmarkEnd w:id="148"/>
    </w:p>
    <w:p w14:paraId="380F023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3.3 乙方应根据甲方要求及时无条件地更换不合格的项目组成员。</w:t>
      </w:r>
    </w:p>
    <w:p w14:paraId="1A0C7F92">
      <w:pPr>
        <w:spacing w:line="360" w:lineRule="auto"/>
        <w:rPr>
          <w:rFonts w:hint="eastAsia" w:ascii="宋体" w:hAnsi="宋体" w:eastAsia="宋体" w:cs="宋体"/>
          <w:sz w:val="21"/>
          <w:szCs w:val="21"/>
          <w:highlight w:val="none"/>
          <w:lang w:eastAsia="zh-CN"/>
        </w:rPr>
      </w:pPr>
    </w:p>
    <w:p w14:paraId="79F1319E">
      <w:pPr>
        <w:spacing w:line="360" w:lineRule="auto"/>
        <w:rPr>
          <w:rFonts w:ascii="宋体" w:hAnsi="宋体" w:eastAsia="宋体" w:cs="宋体"/>
          <w:b/>
          <w:sz w:val="21"/>
          <w:szCs w:val="21"/>
          <w:highlight w:val="none"/>
          <w:lang w:eastAsia="zh-CN"/>
        </w:rPr>
      </w:pPr>
      <w:bookmarkStart w:id="149" w:name="_Toc297806557"/>
      <w:bookmarkStart w:id="150" w:name="_Toc424651535"/>
      <w:bookmarkStart w:id="151" w:name="_Toc297806534"/>
      <w:bookmarkStart w:id="152" w:name="_Toc298258573"/>
      <w:bookmarkStart w:id="153" w:name="_Toc221503543"/>
      <w:r>
        <w:rPr>
          <w:rFonts w:hint="eastAsia" w:ascii="宋体" w:hAnsi="宋体" w:eastAsia="宋体" w:cs="宋体"/>
          <w:b/>
          <w:sz w:val="21"/>
          <w:szCs w:val="21"/>
          <w:highlight w:val="none"/>
          <w:lang w:eastAsia="zh-CN"/>
        </w:rPr>
        <w:t>第四条  服务费用</w:t>
      </w:r>
      <w:bookmarkEnd w:id="149"/>
      <w:bookmarkEnd w:id="150"/>
      <w:bookmarkEnd w:id="151"/>
      <w:bookmarkEnd w:id="152"/>
      <w:bookmarkEnd w:id="153"/>
      <w:r>
        <w:rPr>
          <w:rFonts w:hint="eastAsia" w:ascii="宋体" w:hAnsi="宋体" w:eastAsia="宋体" w:cs="宋体"/>
          <w:b/>
          <w:sz w:val="21"/>
          <w:szCs w:val="21"/>
          <w:highlight w:val="none"/>
          <w:lang w:eastAsia="zh-CN"/>
        </w:rPr>
        <w:t>及支付方式</w:t>
      </w:r>
    </w:p>
    <w:p w14:paraId="393A2BE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4.1 </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z w:val="21"/>
          <w:szCs w:val="21"/>
          <w:highlight w:val="none"/>
        </w:rPr>
        <w:t>按实际发生支付</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pacing w:val="0"/>
          <w:sz w:val="21"/>
          <w:szCs w:val="21"/>
          <w:highlight w:val="none"/>
          <w:lang w:eastAsia="zh-CN"/>
        </w:rPr>
        <w:t>服务费用</w:t>
      </w:r>
      <w:r>
        <w:rPr>
          <w:rFonts w:hint="eastAsia" w:ascii="宋体" w:hAnsi="宋体" w:eastAsia="宋体" w:cs="宋体"/>
          <w:color w:val="auto"/>
          <w:spacing w:val="0"/>
          <w:sz w:val="21"/>
          <w:szCs w:val="21"/>
          <w:highlight w:val="none"/>
          <w:lang w:val="en-US" w:eastAsia="zh-CN"/>
        </w:rPr>
        <w:t>总金额（上限）</w:t>
      </w:r>
      <w:r>
        <w:rPr>
          <w:rFonts w:hint="eastAsia" w:ascii="宋体" w:hAnsi="宋体" w:eastAsia="宋体" w:cs="宋体"/>
          <w:color w:val="auto"/>
          <w:spacing w:val="0"/>
          <w:sz w:val="21"/>
          <w:szCs w:val="21"/>
          <w:highlight w:val="none"/>
          <w:lang w:eastAsia="zh-CN"/>
        </w:rPr>
        <w:t>为人民币（大写）</w:t>
      </w:r>
      <w:r>
        <w:rPr>
          <w:rFonts w:hint="eastAsia" w:ascii="宋体" w:hAnsi="宋体" w:eastAsia="宋体" w:cs="宋体"/>
          <w:color w:val="auto"/>
          <w:spacing w:val="0"/>
          <w:sz w:val="21"/>
          <w:szCs w:val="21"/>
          <w:highlight w:val="none"/>
          <w:u w:val="none"/>
          <w:lang w:val="en-US" w:eastAsia="zh-CN"/>
        </w:rPr>
        <w:t xml:space="preserve">     </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u w:val="single"/>
          <w:lang w:eastAsia="zh-CN"/>
        </w:rPr>
        <w:t>¥</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)，税率为</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%。（以下简称“服务费用”）。</w:t>
      </w:r>
      <w:r>
        <w:rPr>
          <w:rFonts w:hint="eastAsia" w:ascii="宋体" w:hAnsi="宋体" w:eastAsia="宋体" w:cs="宋体"/>
          <w:sz w:val="21"/>
          <w:szCs w:val="21"/>
          <w:highlight w:val="none"/>
          <w:lang w:eastAsia="zh-CN"/>
        </w:rPr>
        <w:t xml:space="preserve"> </w:t>
      </w:r>
    </w:p>
    <w:p w14:paraId="3616D6E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4.2 支付方式：</w:t>
      </w:r>
    </w:p>
    <w:p w14:paraId="7789CA4B">
      <w:pPr>
        <w:pStyle w:val="5"/>
        <w:keepNext w:val="0"/>
        <w:keepLines w:val="0"/>
        <w:pageBreakBefore w:val="0"/>
        <w:widowControl/>
        <w:kinsoku/>
        <w:wordWrap/>
        <w:overflowPunct/>
        <w:topLinePunct w:val="0"/>
        <w:autoSpaceDE/>
        <w:autoSpaceDN/>
        <w:bidi w:val="0"/>
        <w:adjustRightInd/>
        <w:snapToGrid/>
        <w:spacing w:line="360" w:lineRule="auto"/>
        <w:ind w:left="0" w:leftChars="0"/>
        <w:textAlignment w:val="auto"/>
        <w:rPr>
          <w:rFonts w:hint="eastAsia" w:eastAsia="宋体"/>
          <w:highlight w:val="none"/>
          <w:lang w:val="en-US" w:eastAsia="zh-CN"/>
        </w:rPr>
      </w:pPr>
      <w:r>
        <w:rPr>
          <w:rFonts w:hint="eastAsia" w:ascii="宋体" w:hAnsi="宋体" w:eastAsia="宋体" w:cs="宋体"/>
          <w:spacing w:val="0"/>
          <w:sz w:val="21"/>
          <w:szCs w:val="21"/>
          <w:highlight w:val="none"/>
          <w:lang w:val="en-US" w:eastAsia="zh-CN"/>
        </w:rPr>
        <w:t>一次性支付</w:t>
      </w:r>
      <w:r>
        <w:rPr>
          <w:rFonts w:hint="eastAsia" w:ascii="宋体" w:hAnsi="宋体" w:eastAsia="宋体" w:cs="宋体"/>
          <w:spacing w:val="0"/>
          <w:sz w:val="21"/>
          <w:szCs w:val="21"/>
          <w:highlight w:val="none"/>
          <w:lang w:eastAsia="zh-CN"/>
        </w:rPr>
        <w:t>：在本合同服务期限届满</w:t>
      </w:r>
      <w:r>
        <w:rPr>
          <w:rFonts w:hint="eastAsia" w:ascii="宋体" w:hAnsi="宋体" w:cs="宋体"/>
          <w:spacing w:val="0"/>
          <w:sz w:val="21"/>
          <w:szCs w:val="21"/>
          <w:highlight w:val="none"/>
          <w:lang w:eastAsia="zh-CN"/>
        </w:rPr>
        <w:t>，</w:t>
      </w:r>
      <w:r>
        <w:rPr>
          <w:rFonts w:hint="eastAsia" w:ascii="Times New Roman" w:hAnsi="Times New Roman" w:eastAsia="宋体" w:cs="Times New Roman"/>
          <w:highlight w:val="none"/>
        </w:rPr>
        <w:t>全部标识标牌及VI需求制作安装完成并经</w:t>
      </w:r>
      <w:r>
        <w:rPr>
          <w:rFonts w:hint="eastAsia" w:ascii="Times New Roman" w:hAnsi="Times New Roman" w:eastAsia="宋体" w:cs="Times New Roman"/>
          <w:highlight w:val="none"/>
          <w:lang w:val="en-US" w:eastAsia="zh-CN"/>
        </w:rPr>
        <w:t>甲方</w:t>
      </w:r>
      <w:r>
        <w:rPr>
          <w:rFonts w:hint="eastAsia" w:ascii="Times New Roman" w:hAnsi="Times New Roman" w:eastAsia="宋体" w:cs="Times New Roman"/>
          <w:highlight w:val="none"/>
        </w:rPr>
        <w:t>验收合格，</w:t>
      </w:r>
      <w:r>
        <w:rPr>
          <w:rFonts w:hint="eastAsia" w:ascii="Times New Roman" w:hAnsi="Times New Roman" w:cs="Times New Roman"/>
          <w:highlight w:val="none"/>
          <w:lang w:val="en-US" w:eastAsia="zh-CN"/>
        </w:rPr>
        <w:t>且</w:t>
      </w:r>
      <w:r>
        <w:rPr>
          <w:rFonts w:hint="eastAsia" w:ascii="Times New Roman" w:hAnsi="Times New Roman" w:eastAsia="宋体" w:cs="Times New Roman"/>
          <w:highlight w:val="none"/>
          <w:lang w:val="en-US" w:eastAsia="zh-CN"/>
        </w:rPr>
        <w:t>乙方</w:t>
      </w:r>
      <w:r>
        <w:rPr>
          <w:rFonts w:hint="eastAsia" w:ascii="Times New Roman" w:hAnsi="Times New Roman" w:eastAsia="宋体" w:cs="Times New Roman"/>
          <w:highlight w:val="none"/>
        </w:rPr>
        <w:t>按</w:t>
      </w:r>
      <w:r>
        <w:rPr>
          <w:rFonts w:hint="eastAsia" w:ascii="Times New Roman" w:hAnsi="Times New Roman" w:eastAsia="宋体" w:cs="Times New Roman"/>
          <w:highlight w:val="none"/>
          <w:lang w:val="en-US" w:eastAsia="zh-CN"/>
        </w:rPr>
        <w:t>甲方</w:t>
      </w:r>
      <w:r>
        <w:rPr>
          <w:rFonts w:hint="eastAsia" w:ascii="Times New Roman" w:hAnsi="Times New Roman" w:eastAsia="宋体" w:cs="Times New Roman"/>
          <w:highlight w:val="none"/>
        </w:rPr>
        <w:t>要求提交正确无误的支付请求、相应服务工作完成证明文件、相应款项的增值税专用发票等有效付款单据后</w:t>
      </w:r>
      <w:r>
        <w:rPr>
          <w:rFonts w:hint="eastAsia" w:ascii="Times New Roman" w:hAnsi="Times New Roman" w:cs="Times New Roman"/>
          <w:highlight w:val="none"/>
          <w:u w:val="single"/>
          <w:lang w:val="en-US" w:eastAsia="zh-CN"/>
        </w:rPr>
        <w:t>30</w:t>
      </w:r>
      <w:r>
        <w:rPr>
          <w:rFonts w:hint="eastAsia" w:ascii="Times New Roman" w:hAnsi="Times New Roman" w:cs="Times New Roman"/>
          <w:highlight w:val="none"/>
          <w:lang w:val="en-US" w:eastAsia="zh-CN"/>
        </w:rPr>
        <w:t>个工作日内，</w:t>
      </w:r>
      <w:r>
        <w:rPr>
          <w:rFonts w:hint="eastAsia" w:ascii="Times New Roman" w:hAnsi="Times New Roman" w:eastAsia="宋体" w:cs="Times New Roman"/>
          <w:highlight w:val="none"/>
        </w:rPr>
        <w:t>一次性付清全部服务费用。</w:t>
      </w:r>
      <w:r>
        <w:rPr>
          <w:rFonts w:hint="eastAsia" w:cs="Times New Roman"/>
          <w:highlight w:val="none"/>
          <w:lang w:val="en-US" w:eastAsia="zh-CN"/>
        </w:rPr>
        <w:t xml:space="preserve"> </w:t>
      </w:r>
    </w:p>
    <w:p w14:paraId="051FEC46">
      <w:pPr>
        <w:spacing w:line="360" w:lineRule="auto"/>
        <w:ind w:firstLine="420" w:firstLineChars="200"/>
        <w:rPr>
          <w:rFonts w:hint="eastAsia" w:ascii="宋体" w:hAnsi="宋体" w:eastAsia="宋体" w:cs="宋体"/>
          <w:sz w:val="21"/>
          <w:szCs w:val="21"/>
          <w:highlight w:val="none"/>
          <w:lang w:eastAsia="zh-CN"/>
        </w:rPr>
      </w:pPr>
      <w:bookmarkStart w:id="154" w:name="_Toc297808108"/>
      <w:bookmarkEnd w:id="154"/>
      <w:bookmarkStart w:id="155" w:name="_Toc297808105"/>
      <w:bookmarkEnd w:id="155"/>
      <w:bookmarkStart w:id="156" w:name="_Toc297808107"/>
      <w:bookmarkEnd w:id="156"/>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 xml:space="preserve">.合同价款以 </w:t>
      </w:r>
      <w:r>
        <w:rPr>
          <w:rFonts w:hint="eastAsia" w:ascii="宋体" w:hAnsi="宋体" w:eastAsia="宋体" w:cs="宋体"/>
          <w:sz w:val="21"/>
          <w:szCs w:val="21"/>
          <w:highlight w:val="none"/>
          <w:u w:val="single"/>
          <w:lang w:eastAsia="zh-CN"/>
        </w:rPr>
        <w:t xml:space="preserve">  银行转账  </w:t>
      </w:r>
      <w:r>
        <w:rPr>
          <w:rFonts w:hint="eastAsia" w:ascii="宋体" w:hAnsi="宋体" w:eastAsia="宋体" w:cs="宋体"/>
          <w:sz w:val="21"/>
          <w:szCs w:val="21"/>
          <w:highlight w:val="none"/>
          <w:lang w:eastAsia="zh-CN"/>
        </w:rPr>
        <w:t>的方式支付。乙方银行账户信息确认如下：</w:t>
      </w:r>
    </w:p>
    <w:p w14:paraId="51113693">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账户名：</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3D8114A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开户行：</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5AAAD6EC">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账号：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3BBE66A0">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甲方开票信息确认如下：</w:t>
      </w:r>
    </w:p>
    <w:p w14:paraId="381BD8E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单位名称：</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5E35546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纳税人识别号：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F66A702">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地址、电话：</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DB172D2">
      <w:pPr>
        <w:spacing w:line="360" w:lineRule="auto"/>
        <w:ind w:firstLine="420" w:firstLineChars="200"/>
        <w:rPr>
          <w:sz w:val="21"/>
          <w:szCs w:val="21"/>
          <w:highlight w:val="none"/>
          <w:lang w:eastAsia="zh-CN"/>
        </w:rPr>
      </w:pPr>
      <w:r>
        <w:rPr>
          <w:rFonts w:hint="eastAsia" w:ascii="宋体" w:hAnsi="宋体" w:eastAsia="宋体" w:cs="宋体"/>
          <w:sz w:val="21"/>
          <w:szCs w:val="21"/>
          <w:highlight w:val="none"/>
          <w:lang w:eastAsia="zh-CN"/>
        </w:rPr>
        <w:t>开户行、账号：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3E0653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color w:val="000000"/>
          <w:kern w:val="0"/>
          <w:szCs w:val="21"/>
          <w:highlight w:val="none"/>
          <w:u w:color="000000"/>
          <w:lang w:bidi="ar"/>
        </w:rPr>
        <w:t>材料费、生产加工费、装卸费、运输费、管理费、其他费用（如包装费、仓储费、保管费、场地清理搬移相关费用）、安装调试费、利润、招标代理费、售后服务费、税金、政策性文件规定及合同包含的所有风险和责任等、货物送至甲方指定地点前的各项应有费用</w:t>
      </w:r>
      <w:r>
        <w:rPr>
          <w:rFonts w:hint="eastAsia" w:ascii="宋体" w:hAnsi="宋体" w:eastAsia="宋体" w:cs="宋体"/>
          <w:sz w:val="21"/>
          <w:szCs w:val="21"/>
          <w:highlight w:val="none"/>
          <w:lang w:eastAsia="zh-CN"/>
        </w:rPr>
        <w:t>）。除另有约定外，甲方无需向乙方另行支付其他任何费用。</w:t>
      </w:r>
      <w:bookmarkStart w:id="157" w:name="_Toc297806558"/>
      <w:bookmarkStart w:id="158" w:name="_Toc424651536"/>
      <w:bookmarkStart w:id="159" w:name="_Toc297806535"/>
      <w:bookmarkStart w:id="160" w:name="_Toc221503544"/>
      <w:bookmarkStart w:id="161" w:name="_Toc298258574"/>
    </w:p>
    <w:p w14:paraId="17F3722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4.4 本合同约定的</w:t>
      </w:r>
      <w:r>
        <w:rPr>
          <w:rFonts w:hint="eastAsia" w:ascii="宋体" w:hAnsi="宋体" w:eastAsia="宋体" w:cs="宋体"/>
          <w:sz w:val="21"/>
          <w:szCs w:val="21"/>
          <w:highlight w:val="none"/>
          <w:lang w:val="en-US" w:eastAsia="zh-CN"/>
        </w:rPr>
        <w:t>为</w:t>
      </w:r>
      <w:r>
        <w:rPr>
          <w:rFonts w:hint="eastAsia" w:ascii="宋体" w:hAnsi="宋体" w:eastAsia="宋体" w:cs="宋体"/>
          <w:sz w:val="21"/>
          <w:szCs w:val="21"/>
          <w:highlight w:val="none"/>
          <w:lang w:eastAsia="zh-CN"/>
        </w:rPr>
        <w:t>含税费用，</w:t>
      </w:r>
      <w:r>
        <w:rPr>
          <w:rFonts w:hint="eastAsia" w:ascii="宋体" w:hAnsi="宋体" w:eastAsia="宋体" w:cs="Times New Roman"/>
          <w:szCs w:val="21"/>
          <w:highlight w:val="none"/>
        </w:rPr>
        <w:t>在合同履行期间，如遇国家的税率调整或其他政策影响税率的，税率随变化而变化，则合同价款不做调整。</w:t>
      </w:r>
    </w:p>
    <w:p w14:paraId="41DDBA8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DCA4E74">
      <w:pPr>
        <w:spacing w:line="360" w:lineRule="auto"/>
        <w:ind w:firstLine="210" w:firstLineChars="100"/>
        <w:rPr>
          <w:rFonts w:hint="eastAsia" w:ascii="宋体" w:hAnsi="宋体" w:eastAsia="宋体" w:cs="宋体"/>
          <w:sz w:val="21"/>
          <w:szCs w:val="21"/>
          <w:highlight w:val="none"/>
          <w:lang w:eastAsia="zh-CN"/>
        </w:rPr>
      </w:pPr>
    </w:p>
    <w:p w14:paraId="2ABDABB8">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第五条  履约担保</w:t>
      </w:r>
    </w:p>
    <w:p w14:paraId="360B811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1DB3DDF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5.2 履约保证金由甲方持有，甲方有权在该保证金内扣除任何乙方应付而未付之任何款项</w:t>
      </w:r>
      <w:bookmarkStart w:id="162" w:name="_Hlk18247249"/>
      <w:r>
        <w:rPr>
          <w:rFonts w:hint="eastAsia" w:ascii="宋体" w:hAnsi="宋体" w:eastAsia="宋体" w:cs="宋体"/>
          <w:sz w:val="21"/>
          <w:szCs w:val="21"/>
          <w:highlight w:val="none"/>
          <w:lang w:eastAsia="zh-CN"/>
        </w:rPr>
        <w:t>（包括但不限于合同约定的乙方应支付款项、甲方垫付的其他费用等），</w:t>
      </w:r>
      <w:bookmarkStart w:id="163" w:name="_Hlk17966884"/>
      <w:r>
        <w:rPr>
          <w:rFonts w:hint="eastAsia" w:ascii="宋体" w:hAnsi="宋体" w:eastAsia="宋体" w:cs="宋体"/>
          <w:sz w:val="21"/>
          <w:szCs w:val="21"/>
          <w:highlight w:val="none"/>
          <w:lang w:eastAsia="zh-CN"/>
        </w:rPr>
        <w:t>及任何因乙方在不遵守或不履行本协议条款之任何部分而导致的任何费用支出、违约金、损失或损害赔偿金。</w:t>
      </w:r>
      <w:bookmarkEnd w:id="162"/>
      <w:bookmarkEnd w:id="163"/>
      <w:r>
        <w:rPr>
          <w:rFonts w:hint="eastAsia" w:ascii="宋体" w:hAnsi="宋体" w:eastAsia="宋体" w:cs="宋体"/>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66D25763">
      <w:pPr>
        <w:spacing w:line="360" w:lineRule="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 xml:space="preserve">5.3 </w:t>
      </w:r>
      <w:r>
        <w:rPr>
          <w:rFonts w:hint="eastAsia" w:ascii="宋体" w:hAnsi="宋体" w:eastAsia="宋体" w:cs="宋体"/>
          <w:sz w:val="21"/>
          <w:szCs w:val="21"/>
          <w:highlight w:val="none"/>
          <w:lang w:val="en-US" w:eastAsia="zh-CN"/>
        </w:rPr>
        <w:t>乙方在本合同约定的服务期限届满并经甲方验收合格后30日内办理履约保证金退还手续。</w:t>
      </w:r>
    </w:p>
    <w:p w14:paraId="23860BE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（采用履约保证金的方式时选用）</w:t>
      </w:r>
    </w:p>
    <w:p w14:paraId="3124F67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 xml:space="preserve">或 </w:t>
      </w:r>
    </w:p>
    <w:p w14:paraId="67E6264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5.1 在本合同签订时，乙方应提交经甲方认可的银行履约保函，保函金额为合同总价款</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33BA4F2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元整，以保证合同履行期间履约保函的完整。如履约保函金额全部提取尚不能弥补甲方的损失，甲方有权另行向乙方主张赔偿。</w:t>
      </w:r>
    </w:p>
    <w:p w14:paraId="2614ABFA">
      <w:pPr>
        <w:spacing w:line="360" w:lineRule="auto"/>
        <w:ind w:firstLine="105" w:firstLineChars="5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（采用履约保函的方式时选用）</w:t>
      </w:r>
    </w:p>
    <w:p w14:paraId="4FB3A85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 履约担保的有效期 （采用履约保函的方式时选用）</w:t>
      </w:r>
    </w:p>
    <w:p w14:paraId="484BF47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20CABAF9">
      <w:pPr>
        <w:spacing w:line="360" w:lineRule="auto"/>
        <w:rPr>
          <w:rFonts w:hint="eastAsia" w:ascii="宋体" w:hAnsi="宋体" w:eastAsia="宋体" w:cs="宋体"/>
          <w:b/>
          <w:sz w:val="21"/>
          <w:szCs w:val="21"/>
          <w:highlight w:val="none"/>
          <w:lang w:eastAsia="zh-CN"/>
        </w:rPr>
      </w:pPr>
    </w:p>
    <w:p w14:paraId="4BF4AE08">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第六条  甲方权利与义务</w:t>
      </w:r>
      <w:bookmarkEnd w:id="157"/>
      <w:bookmarkEnd w:id="158"/>
      <w:bookmarkEnd w:id="159"/>
      <w:bookmarkEnd w:id="160"/>
      <w:bookmarkEnd w:id="161"/>
    </w:p>
    <w:p w14:paraId="2024677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6.1 要求乙方按本合同及其附件的规定提供技术服务及履行其他合同义务，并对乙方所提供的服务进行评价。</w:t>
      </w:r>
    </w:p>
    <w:p w14:paraId="585E7FCC">
      <w:pPr>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lang w:eastAsia="zh-CN"/>
        </w:rPr>
        <w:t>6.2 向乙方提供与本项目服务事项有关的文件、信息等必要资料，</w:t>
      </w:r>
      <w:r>
        <w:rPr>
          <w:rFonts w:hint="eastAsia" w:ascii="宋体" w:hAnsi="宋体" w:eastAsia="宋体" w:cs="宋体"/>
          <w:color w:val="000000"/>
          <w:sz w:val="21"/>
          <w:szCs w:val="21"/>
          <w:highlight w:val="none"/>
          <w:lang w:eastAsia="zh-CN"/>
        </w:rPr>
        <w:t xml:space="preserve">为本项目各项工作的开展提供必要的便利条件，履行协助义务。 </w:t>
      </w:r>
    </w:p>
    <w:p w14:paraId="0E76B72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6.3 按照本合同及其附件的规定向乙方支付服务费用。</w:t>
      </w:r>
    </w:p>
    <w:p w14:paraId="0E5D260E">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eastAsia="zh-CN"/>
        </w:rPr>
        <w:t>6.4 其他：______________________</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644007C1">
      <w:pPr>
        <w:spacing w:line="360" w:lineRule="auto"/>
        <w:rPr>
          <w:rFonts w:hint="eastAsia" w:ascii="宋体" w:hAnsi="宋体" w:eastAsia="宋体" w:cs="宋体"/>
          <w:color w:val="auto"/>
          <w:sz w:val="21"/>
          <w:szCs w:val="21"/>
          <w:highlight w:val="none"/>
          <w:lang w:val="en-US" w:eastAsia="zh-CN"/>
        </w:rPr>
      </w:pPr>
    </w:p>
    <w:p w14:paraId="3402F3BD">
      <w:pPr>
        <w:spacing w:line="360" w:lineRule="auto"/>
        <w:rPr>
          <w:rFonts w:hint="eastAsia" w:ascii="宋体" w:hAnsi="宋体" w:eastAsia="宋体" w:cs="宋体"/>
          <w:b/>
          <w:sz w:val="21"/>
          <w:szCs w:val="21"/>
          <w:highlight w:val="none"/>
          <w:lang w:eastAsia="zh-CN"/>
        </w:rPr>
      </w:pPr>
      <w:bookmarkStart w:id="164" w:name="_Toc298258575"/>
      <w:bookmarkEnd w:id="164"/>
      <w:bookmarkStart w:id="165" w:name="_Toc297806536"/>
      <w:bookmarkStart w:id="166" w:name="_Toc297806559"/>
      <w:bookmarkStart w:id="167" w:name="_Toc424651537"/>
      <w:bookmarkStart w:id="168" w:name="_Toc221503545"/>
      <w:bookmarkStart w:id="169" w:name="_Toc298258576"/>
      <w:r>
        <w:rPr>
          <w:rFonts w:hint="eastAsia" w:ascii="宋体" w:hAnsi="宋体" w:eastAsia="宋体" w:cs="宋体"/>
          <w:b/>
          <w:sz w:val="21"/>
          <w:szCs w:val="21"/>
          <w:highlight w:val="none"/>
          <w:lang w:eastAsia="zh-CN"/>
        </w:rPr>
        <w:t>第七条  乙方权利与义务</w:t>
      </w:r>
      <w:bookmarkEnd w:id="165"/>
      <w:bookmarkEnd w:id="166"/>
      <w:bookmarkEnd w:id="167"/>
      <w:bookmarkEnd w:id="168"/>
      <w:bookmarkEnd w:id="169"/>
    </w:p>
    <w:p w14:paraId="1929C48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 要求甲方提供开展本项目服务必要的资料和协助。</w:t>
      </w:r>
    </w:p>
    <w:p w14:paraId="1EC4CDE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7.2 在交付符合本合同要求的工作成果后获得服务费用。</w:t>
      </w:r>
    </w:p>
    <w:p w14:paraId="739BAE1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3FDDEF7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7.4 应合理配备项目组成员，合理计划和实施本项目，熟悉与本项目有关的甲方内部规章制度。</w:t>
      </w:r>
    </w:p>
    <w:p w14:paraId="39ED5ECC">
      <w:pPr>
        <w:spacing w:line="360" w:lineRule="auto"/>
        <w:rPr>
          <w:rFonts w:hint="eastAsia" w:ascii="宋体" w:hAnsi="宋体" w:eastAsia="宋体" w:cs="宋体"/>
          <w:sz w:val="21"/>
          <w:szCs w:val="21"/>
          <w:highlight w:val="none"/>
          <w:lang w:eastAsia="zh-CN"/>
        </w:rPr>
      </w:pPr>
      <w:bookmarkStart w:id="170" w:name="_Toc297808125"/>
      <w:bookmarkEnd w:id="170"/>
      <w:r>
        <w:rPr>
          <w:rFonts w:hint="eastAsia" w:ascii="宋体" w:hAnsi="宋体" w:eastAsia="宋体" w:cs="宋体"/>
          <w:sz w:val="21"/>
          <w:szCs w:val="21"/>
          <w:highlight w:val="none"/>
          <w:lang w:eastAsia="zh-CN"/>
        </w:rPr>
        <w:t>7.5 若本项目涉及其他利害关系方，未经甲方事先同意，乙方不得和其私自接触，以保证服务结果的客观性、正确性，维护甲方正当利益。</w:t>
      </w:r>
    </w:p>
    <w:p w14:paraId="59766BC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7.6 乙方不得拒绝甲方与本项目有关的咨询，对甲方的相关咨询必须给予及时、明确的书面或其他双方认可的方式答复。</w:t>
      </w:r>
    </w:p>
    <w:p w14:paraId="4C94792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7.7 乙方应当对甲方提供的资料进行核查，发现甲方提供的资料不符合本合同约定时，有权在接到上述资料或开始工作的___日内，书面通知甲方。</w:t>
      </w:r>
    </w:p>
    <w:p w14:paraId="51A1808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7.8 在未得到甲方事先书面同意的情况下，乙方不得向任何第三方分包或转包本项目。</w:t>
      </w:r>
    </w:p>
    <w:p w14:paraId="1AA47F3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7.9 本项目结束后___个月内，乙方应当为甲方就有关技术服务事项的理解和实施过程中遇到的问题提供免费后续服务。</w:t>
      </w:r>
    </w:p>
    <w:p w14:paraId="0C061BF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后续服务内容包括：____________________。</w:t>
      </w:r>
    </w:p>
    <w:p w14:paraId="3FE15E2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后续服务方式、标准：___________________</w:t>
      </w:r>
    </w:p>
    <w:p w14:paraId="64D0224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0DB67AB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1F386AA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7.12 </w:t>
      </w:r>
      <w:bookmarkStart w:id="171" w:name="_Toc297806537"/>
      <w:bookmarkStart w:id="172" w:name="_Toc221503546"/>
      <w:bookmarkStart w:id="173" w:name="_Toc297806560"/>
      <w:bookmarkStart w:id="174" w:name="_Toc298258577"/>
      <w:bookmarkStart w:id="175" w:name="_Toc424651538"/>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lang w:eastAsia="zh-Hans"/>
        </w:rPr>
        <w:t>如</w:t>
      </w:r>
      <w:r>
        <w:rPr>
          <w:rFonts w:hint="eastAsia" w:ascii="宋体" w:hAnsi="宋体" w:eastAsia="宋体" w:cs="宋体"/>
          <w:sz w:val="21"/>
          <w:szCs w:val="21"/>
          <w:highlight w:val="none"/>
          <w:lang w:eastAsia="zh-CN"/>
        </w:rPr>
        <w:t>在中标后</w:t>
      </w:r>
      <w:r>
        <w:rPr>
          <w:rFonts w:hint="eastAsia" w:ascii="宋体" w:hAnsi="宋体" w:eastAsia="宋体" w:cs="宋体"/>
          <w:sz w:val="21"/>
          <w:szCs w:val="21"/>
          <w:highlight w:val="none"/>
          <w:lang w:eastAsia="zh-Hans"/>
        </w:rPr>
        <w:t>或者合同履行期间发生</w:t>
      </w:r>
      <w:r>
        <w:rPr>
          <w:rFonts w:hint="eastAsia" w:ascii="宋体" w:hAnsi="宋体" w:eastAsia="宋体" w:cs="宋体"/>
          <w:sz w:val="21"/>
          <w:szCs w:val="21"/>
          <w:highlight w:val="none"/>
          <w:lang w:eastAsia="zh-CN"/>
        </w:rPr>
        <w:t>被人民法院列为失信被执行人、影响合同履约能力的重大行政处罚等情形，应及时向</w:t>
      </w:r>
      <w:r>
        <w:rPr>
          <w:rFonts w:hint="eastAsia" w:ascii="宋体" w:hAnsi="宋体" w:eastAsia="宋体" w:cs="宋体"/>
          <w:sz w:val="21"/>
          <w:szCs w:val="21"/>
          <w:highlight w:val="none"/>
          <w:lang w:eastAsia="zh-Hans"/>
        </w:rPr>
        <w:t>甲方的</w:t>
      </w:r>
      <w:r>
        <w:rPr>
          <w:rFonts w:hint="eastAsia" w:ascii="宋体" w:hAnsi="宋体" w:eastAsia="宋体" w:cs="宋体"/>
          <w:sz w:val="21"/>
          <w:szCs w:val="21"/>
          <w:highlight w:val="none"/>
          <w:lang w:eastAsia="zh-CN"/>
        </w:rPr>
        <w:t>履约管理单位</w:t>
      </w:r>
      <w:r>
        <w:rPr>
          <w:rFonts w:hint="eastAsia" w:ascii="宋体" w:hAnsi="宋体" w:eastAsia="宋体" w:cs="宋体"/>
          <w:sz w:val="21"/>
          <w:szCs w:val="21"/>
          <w:highlight w:val="none"/>
          <w:lang w:eastAsia="zh-Hans"/>
        </w:rPr>
        <w:t>、</w:t>
      </w:r>
      <w:r>
        <w:rPr>
          <w:rFonts w:hint="eastAsia" w:ascii="宋体" w:hAnsi="宋体" w:eastAsia="宋体" w:cs="宋体"/>
          <w:sz w:val="21"/>
          <w:szCs w:val="21"/>
          <w:highlight w:val="none"/>
          <w:lang w:eastAsia="zh-CN"/>
        </w:rPr>
        <w:t>物资部报备。</w:t>
      </w:r>
    </w:p>
    <w:p w14:paraId="748F794D">
      <w:pPr>
        <w:spacing w:line="360" w:lineRule="auto"/>
        <w:rPr>
          <w:rFonts w:hint="eastAsia" w:ascii="宋体" w:hAnsi="宋体" w:eastAsia="宋体" w:cs="宋体"/>
          <w:sz w:val="21"/>
          <w:szCs w:val="21"/>
          <w:highlight w:val="none"/>
          <w:lang w:eastAsia="zh-CN"/>
        </w:rPr>
      </w:pPr>
    </w:p>
    <w:p w14:paraId="6C5516F5">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第八条  工作成果验收</w:t>
      </w:r>
      <w:bookmarkEnd w:id="171"/>
      <w:bookmarkEnd w:id="172"/>
      <w:bookmarkEnd w:id="173"/>
      <w:bookmarkEnd w:id="174"/>
      <w:bookmarkEnd w:id="175"/>
    </w:p>
    <w:p w14:paraId="544CA6E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8.1 本合同约定的各项服务自完成之日起</w:t>
      </w:r>
      <w:r>
        <w:rPr>
          <w:rFonts w:hint="eastAsia" w:ascii="宋体" w:hAnsi="宋体" w:eastAsia="宋体" w:cs="宋体"/>
          <w:sz w:val="21"/>
          <w:szCs w:val="21"/>
          <w:highlight w:val="none"/>
          <w:u w:val="single"/>
          <w:lang w:val="en-US" w:eastAsia="zh-CN"/>
        </w:rPr>
        <w:t>7</w:t>
      </w:r>
      <w:r>
        <w:rPr>
          <w:rFonts w:hint="eastAsia" w:ascii="宋体" w:hAnsi="宋体" w:eastAsia="宋体" w:cs="宋体"/>
          <w:sz w:val="21"/>
          <w:szCs w:val="21"/>
          <w:highlight w:val="none"/>
          <w:lang w:eastAsia="zh-CN"/>
        </w:rPr>
        <w:t>日内，乙方应书面提请甲方进行验收，验收通过的，甲方在验收报告上签署意见。如果验收不合格，乙方应按甲方的意见免费进行修改或重新制作或编制，并自验收不合格之日起</w:t>
      </w:r>
      <w:r>
        <w:rPr>
          <w:rFonts w:hint="eastAsia" w:ascii="宋体" w:hAnsi="宋体" w:eastAsia="宋体" w:cs="宋体"/>
          <w:sz w:val="21"/>
          <w:szCs w:val="21"/>
          <w:highlight w:val="none"/>
          <w:u w:val="single"/>
          <w:lang w:val="en-US" w:eastAsia="zh-CN"/>
        </w:rPr>
        <w:t>15</w:t>
      </w:r>
      <w:r>
        <w:rPr>
          <w:rFonts w:hint="eastAsia" w:ascii="宋体" w:hAnsi="宋体" w:eastAsia="宋体" w:cs="宋体"/>
          <w:sz w:val="21"/>
          <w:szCs w:val="21"/>
          <w:highlight w:val="none"/>
          <w:lang w:eastAsia="zh-CN"/>
        </w:rPr>
        <w:t>日内重新提请验收。详细验收条件请参照附件一：用户需求书。</w:t>
      </w:r>
    </w:p>
    <w:p w14:paraId="3D62759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8.2 任一服务事项连续</w:t>
      </w:r>
      <w:r>
        <w:rPr>
          <w:rFonts w:hint="eastAsia" w:ascii="宋体" w:hAnsi="宋体" w:eastAsia="宋体" w:cs="宋体"/>
          <w:sz w:val="21"/>
          <w:szCs w:val="21"/>
          <w:highlight w:val="none"/>
          <w:u w:val="single"/>
          <w:lang w:val="en-US" w:eastAsia="zh-CN"/>
        </w:rPr>
        <w:t>3</w:t>
      </w:r>
      <w:r>
        <w:rPr>
          <w:rFonts w:hint="eastAsia" w:ascii="宋体" w:hAnsi="宋体" w:eastAsia="宋体" w:cs="宋体"/>
          <w:sz w:val="21"/>
          <w:szCs w:val="21"/>
          <w:highlight w:val="none"/>
          <w:lang w:eastAsia="zh-CN"/>
        </w:rPr>
        <w:t>次验收不合格的，则视为乙方没有完成该项服务。乙方应根据合同约定承担相应违约责任。</w:t>
      </w:r>
    </w:p>
    <w:p w14:paraId="0284F99D">
      <w:pPr>
        <w:spacing w:line="360" w:lineRule="auto"/>
        <w:rPr>
          <w:rFonts w:hint="eastAsia" w:ascii="宋体" w:hAnsi="宋体" w:eastAsia="宋体" w:cs="宋体"/>
          <w:b/>
          <w:sz w:val="21"/>
          <w:szCs w:val="21"/>
          <w:highlight w:val="none"/>
          <w:lang w:eastAsia="zh-CN"/>
        </w:rPr>
      </w:pPr>
      <w:bookmarkStart w:id="176" w:name="_Toc221503547"/>
      <w:bookmarkStart w:id="177" w:name="_Toc298258578"/>
      <w:bookmarkStart w:id="178" w:name="_Toc424651539"/>
      <w:bookmarkStart w:id="179" w:name="_Toc297806538"/>
      <w:bookmarkStart w:id="180" w:name="_Toc297806561"/>
    </w:p>
    <w:p w14:paraId="720BAC30">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第九条  知识产权</w:t>
      </w:r>
      <w:bookmarkEnd w:id="176"/>
      <w:bookmarkEnd w:id="177"/>
      <w:bookmarkEnd w:id="178"/>
      <w:bookmarkEnd w:id="179"/>
      <w:bookmarkEnd w:id="180"/>
    </w:p>
    <w:p w14:paraId="3746C1EB">
      <w:pPr>
        <w:spacing w:line="360" w:lineRule="auto"/>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17A0D97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9.2 甲方提供给乙方的企业标识、图片、文字等任何资料、文件的知识产权归属于甲方，乙方仅能在本项目范围内使用。</w:t>
      </w:r>
    </w:p>
    <w:p w14:paraId="24F9C54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1CC391A">
      <w:pPr>
        <w:spacing w:line="360" w:lineRule="auto"/>
        <w:ind w:firstLine="210" w:firstLineChars="100"/>
        <w:rPr>
          <w:rFonts w:hint="eastAsia" w:ascii="宋体" w:hAnsi="宋体" w:eastAsia="宋体" w:cs="宋体"/>
          <w:sz w:val="21"/>
          <w:szCs w:val="21"/>
          <w:highlight w:val="none"/>
          <w:lang w:eastAsia="zh-CN"/>
        </w:rPr>
      </w:pPr>
    </w:p>
    <w:p w14:paraId="6A742101">
      <w:pPr>
        <w:spacing w:line="360" w:lineRule="auto"/>
        <w:rPr>
          <w:rFonts w:hint="eastAsia" w:ascii="宋体" w:hAnsi="宋体" w:eastAsia="宋体" w:cs="宋体"/>
          <w:b/>
          <w:sz w:val="21"/>
          <w:szCs w:val="21"/>
          <w:highlight w:val="none"/>
          <w:lang w:eastAsia="zh-CN"/>
        </w:rPr>
      </w:pPr>
      <w:bookmarkStart w:id="181" w:name="_Toc424651541"/>
      <w:bookmarkStart w:id="182" w:name="_Toc424648874"/>
      <w:r>
        <w:rPr>
          <w:rFonts w:hint="eastAsia" w:ascii="宋体" w:hAnsi="宋体" w:eastAsia="宋体" w:cs="宋体"/>
          <w:b/>
          <w:sz w:val="21"/>
          <w:szCs w:val="21"/>
          <w:highlight w:val="none"/>
          <w:lang w:eastAsia="zh-CN"/>
        </w:rPr>
        <w:t>第十条  保密</w:t>
      </w:r>
      <w:bookmarkEnd w:id="181"/>
      <w:bookmarkEnd w:id="182"/>
    </w:p>
    <w:p w14:paraId="2148E7FC">
      <w:pPr>
        <w:spacing w:line="360" w:lineRule="auto"/>
        <w:rPr>
          <w:rFonts w:hint="eastAsia" w:ascii="宋体" w:hAnsi="宋体" w:eastAsia="宋体" w:cs="宋体"/>
          <w:sz w:val="21"/>
          <w:szCs w:val="21"/>
          <w:highlight w:val="none"/>
          <w:lang w:eastAsia="zh-CN"/>
        </w:rPr>
      </w:pPr>
      <w:bookmarkStart w:id="183" w:name="_Toc424651542"/>
      <w:bookmarkStart w:id="184" w:name="_Toc424648875"/>
      <w:r>
        <w:rPr>
          <w:rFonts w:hint="eastAsia" w:ascii="宋体" w:hAnsi="宋体" w:eastAsia="宋体" w:cs="宋体"/>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83"/>
      <w:bookmarkEnd w:id="184"/>
    </w:p>
    <w:p w14:paraId="0111079E">
      <w:pPr>
        <w:spacing w:line="360" w:lineRule="auto"/>
        <w:rPr>
          <w:rFonts w:hint="eastAsia" w:ascii="宋体" w:hAnsi="宋体" w:eastAsia="宋体" w:cs="宋体"/>
          <w:sz w:val="21"/>
          <w:szCs w:val="21"/>
          <w:highlight w:val="none"/>
          <w:lang w:eastAsia="zh-CN"/>
        </w:rPr>
      </w:pPr>
      <w:bookmarkStart w:id="185" w:name="_Toc424648876"/>
      <w:bookmarkStart w:id="186" w:name="_Toc424651543"/>
      <w:r>
        <w:rPr>
          <w:rFonts w:hint="eastAsia" w:ascii="宋体" w:hAnsi="宋体" w:eastAsia="宋体" w:cs="宋体"/>
          <w:sz w:val="21"/>
          <w:szCs w:val="21"/>
          <w:highlight w:val="none"/>
          <w:lang w:eastAsia="zh-CN"/>
        </w:rPr>
        <w:t>10.2 本合同规定的保密信息不包括以下信息：</w:t>
      </w:r>
      <w:bookmarkEnd w:id="185"/>
      <w:bookmarkEnd w:id="186"/>
    </w:p>
    <w:p w14:paraId="48FA153B">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1.在从甲方处获得前，已经为乙方掌握的且甲方不反对使用或披露的信息；</w:t>
      </w:r>
    </w:p>
    <w:p w14:paraId="5B909CDF">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2.已经为公众所知的信息，除非该等信息为公众所知是由于乙方违反本合同；</w:t>
      </w:r>
    </w:p>
    <w:p w14:paraId="1E45330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3.乙方按照有管辖权的法院或其他有权机关的合法要求而披露的信息；</w:t>
      </w:r>
    </w:p>
    <w:p w14:paraId="6A366CE5">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4.依甲方的书面授权而向第三方所披露的信息。</w:t>
      </w:r>
    </w:p>
    <w:p w14:paraId="4F6F7FB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10.3 乙方只能为本合同的目的使用保密信息，且只能在乙方服务项目组成员的范围内披露或使用保密信息，但必须要求获得保密信息的相关人员</w:t>
      </w:r>
      <w:bookmarkStart w:id="187" w:name="_DV_C27"/>
      <w:r>
        <w:rPr>
          <w:rFonts w:hint="eastAsia" w:ascii="宋体" w:hAnsi="宋体" w:eastAsia="宋体" w:cs="宋体"/>
          <w:sz w:val="21"/>
          <w:szCs w:val="21"/>
          <w:highlight w:val="none"/>
          <w:lang w:eastAsia="zh-CN"/>
        </w:rPr>
        <w:t>对</w:t>
      </w:r>
      <w:bookmarkEnd w:id="187"/>
      <w:bookmarkStart w:id="188" w:name="_DV_M38"/>
      <w:bookmarkEnd w:id="188"/>
      <w:r>
        <w:rPr>
          <w:rFonts w:hint="eastAsia" w:ascii="宋体" w:hAnsi="宋体" w:eastAsia="宋体" w:cs="宋体"/>
          <w:sz w:val="21"/>
          <w:szCs w:val="21"/>
          <w:highlight w:val="none"/>
          <w:lang w:eastAsia="zh-CN"/>
        </w:rPr>
        <w:t>保密</w:t>
      </w:r>
      <w:bookmarkStart w:id="189" w:name="_DV_C29"/>
      <w:r>
        <w:rPr>
          <w:rFonts w:hint="eastAsia" w:ascii="宋体" w:hAnsi="宋体" w:eastAsia="宋体" w:cs="宋体"/>
          <w:sz w:val="21"/>
          <w:szCs w:val="21"/>
          <w:highlight w:val="none"/>
          <w:lang w:eastAsia="zh-CN"/>
        </w:rPr>
        <w:t>信息保密</w:t>
      </w:r>
      <w:bookmarkEnd w:id="189"/>
      <w:bookmarkStart w:id="190" w:name="_DV_M39"/>
      <w:bookmarkEnd w:id="190"/>
      <w:r>
        <w:rPr>
          <w:rFonts w:hint="eastAsia" w:ascii="宋体" w:hAnsi="宋体" w:eastAsia="宋体" w:cs="宋体"/>
          <w:sz w:val="21"/>
          <w:szCs w:val="21"/>
          <w:highlight w:val="none"/>
          <w:lang w:eastAsia="zh-CN"/>
        </w:rPr>
        <w:t>；除此之外，未经甲方书面同意，乙方不得向任何第三方提供或透露部分或全部保密信息。</w:t>
      </w:r>
    </w:p>
    <w:p w14:paraId="26BB8DD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40649FE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0DDE1E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10.6 若乙方或其有关人员违反本合同规定的保密义务，乙方应赔偿由此给甲方造成的全部损失，并负责消除影响。</w:t>
      </w:r>
    </w:p>
    <w:p w14:paraId="6267A94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10.7 乙方对所获的甲方的保密信息负有保密义务的期限为</w:t>
      </w:r>
      <w:r>
        <w:rPr>
          <w:rFonts w:hint="eastAsia" w:ascii="宋体" w:hAnsi="宋体" w:eastAsia="宋体" w:cs="宋体"/>
          <w:sz w:val="21"/>
          <w:szCs w:val="21"/>
          <w:highlight w:val="none"/>
          <w:u w:val="single"/>
          <w:lang w:eastAsia="zh-CN"/>
        </w:rPr>
        <w:t xml:space="preserve"> 永久 </w:t>
      </w:r>
      <w:r>
        <w:rPr>
          <w:rFonts w:hint="eastAsia" w:ascii="宋体" w:hAnsi="宋体" w:eastAsia="宋体" w:cs="宋体"/>
          <w:sz w:val="21"/>
          <w:szCs w:val="21"/>
          <w:highlight w:val="none"/>
          <w:lang w:eastAsia="zh-CN"/>
        </w:rPr>
        <w:t>，直至保密信息已进入公共渠道或甲方以书面形式明确表示乙方无须再负保密义务为止。</w:t>
      </w:r>
    </w:p>
    <w:p w14:paraId="197F53E6">
      <w:pPr>
        <w:spacing w:line="360" w:lineRule="auto"/>
        <w:rPr>
          <w:rFonts w:hint="eastAsia" w:ascii="宋体" w:hAnsi="宋体" w:eastAsia="宋体" w:cs="宋体"/>
          <w:b/>
          <w:sz w:val="21"/>
          <w:szCs w:val="21"/>
          <w:highlight w:val="none"/>
          <w:lang w:eastAsia="zh-CN"/>
        </w:rPr>
      </w:pPr>
      <w:bookmarkStart w:id="191" w:name="_Toc298258579"/>
      <w:bookmarkStart w:id="192" w:name="_Toc297806562"/>
      <w:bookmarkStart w:id="193" w:name="_Toc297806539"/>
      <w:bookmarkStart w:id="194" w:name="_Toc424651540"/>
    </w:p>
    <w:p w14:paraId="71D06E9A">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第十一条  合同的变更和终止</w:t>
      </w:r>
      <w:bookmarkEnd w:id="191"/>
      <w:bookmarkEnd w:id="192"/>
      <w:bookmarkEnd w:id="193"/>
      <w:bookmarkEnd w:id="194"/>
    </w:p>
    <w:p w14:paraId="4323B91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11.1 发生以下情形，本合同可以终止：</w:t>
      </w:r>
    </w:p>
    <w:p w14:paraId="388171D3">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1.甲方书面通知终止本合同；</w:t>
      </w:r>
    </w:p>
    <w:p w14:paraId="0191787F">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2.双方协商一致决定终止合同的；</w:t>
      </w:r>
    </w:p>
    <w:p w14:paraId="3640600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3.由于不可抗力致使本合同的全部义务不能履行的；</w:t>
      </w:r>
    </w:p>
    <w:p w14:paraId="51CEBC5D">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4.法律规定及本合同约定的其他情形。</w:t>
      </w:r>
    </w:p>
    <w:p w14:paraId="5A4E1A6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11.2 甲方单方终止本合同的，甲方应支付乙方实际完成工作对应的服务费用，甲方单方终止合同自书面通知送达乙方时生效。</w:t>
      </w:r>
    </w:p>
    <w:p w14:paraId="37E59DF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11.3 本合同及其附件仅能由双方通过签署书面文件的方式予以修改、补充、变更、放弃、终止或解除。</w:t>
      </w:r>
    </w:p>
    <w:p w14:paraId="29D4790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1919FBFE">
      <w:pPr>
        <w:spacing w:line="360" w:lineRule="auto"/>
        <w:rPr>
          <w:rFonts w:hint="eastAsia" w:ascii="宋体" w:hAnsi="宋体" w:eastAsia="宋体" w:cs="宋体"/>
          <w:sz w:val="21"/>
          <w:szCs w:val="21"/>
          <w:highlight w:val="none"/>
          <w:lang w:eastAsia="zh-CN"/>
        </w:rPr>
      </w:pPr>
    </w:p>
    <w:p w14:paraId="74CFA807">
      <w:pPr>
        <w:spacing w:line="360" w:lineRule="auto"/>
        <w:rPr>
          <w:rFonts w:hint="eastAsia" w:ascii="宋体" w:hAnsi="宋体" w:eastAsia="宋体" w:cs="宋体"/>
          <w:b/>
          <w:sz w:val="21"/>
          <w:szCs w:val="21"/>
          <w:highlight w:val="none"/>
          <w:lang w:eastAsia="zh-CN"/>
        </w:rPr>
      </w:pPr>
      <w:bookmarkStart w:id="195" w:name="_Toc297806563"/>
      <w:bookmarkStart w:id="196" w:name="_Toc298258580"/>
      <w:bookmarkStart w:id="197" w:name="_Toc424651544"/>
      <w:bookmarkStart w:id="198" w:name="_Toc297806540"/>
      <w:r>
        <w:rPr>
          <w:rFonts w:hint="eastAsia" w:ascii="宋体" w:hAnsi="宋体" w:eastAsia="宋体" w:cs="宋体"/>
          <w:b/>
          <w:sz w:val="21"/>
          <w:szCs w:val="21"/>
          <w:highlight w:val="none"/>
          <w:lang w:eastAsia="zh-CN"/>
        </w:rPr>
        <w:t>第十二条  违约责任</w:t>
      </w:r>
      <w:bookmarkEnd w:id="195"/>
      <w:bookmarkEnd w:id="196"/>
      <w:bookmarkEnd w:id="197"/>
      <w:bookmarkEnd w:id="198"/>
    </w:p>
    <w:p w14:paraId="57BC036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 甲方未按本合同规定支付服务费用，经乙方书面催告后</w:t>
      </w:r>
      <w:r>
        <w:rPr>
          <w:rFonts w:hint="eastAsia" w:ascii="宋体" w:hAnsi="宋体" w:eastAsia="宋体" w:cs="宋体"/>
          <w:sz w:val="21"/>
          <w:szCs w:val="21"/>
          <w:highlight w:val="none"/>
          <w:u w:val="single"/>
          <w:lang w:eastAsia="zh-CN"/>
        </w:rPr>
        <w:t>十</w:t>
      </w:r>
      <w:r>
        <w:rPr>
          <w:rFonts w:hint="eastAsia" w:ascii="宋体" w:hAnsi="宋体" w:eastAsia="宋体" w:cs="宋体"/>
          <w:sz w:val="21"/>
          <w:szCs w:val="21"/>
          <w:highlight w:val="none"/>
          <w:lang w:eastAsia="zh-CN"/>
        </w:rPr>
        <w:t>个工作日内不支付的，乙方有权在甲方支付相应服务费之前中止为甲方提供服务；如甲方在催告后</w:t>
      </w:r>
      <w:r>
        <w:rPr>
          <w:rFonts w:hint="eastAsia" w:ascii="宋体" w:hAnsi="宋体" w:eastAsia="宋体" w:cs="宋体"/>
          <w:sz w:val="21"/>
          <w:szCs w:val="21"/>
          <w:highlight w:val="none"/>
          <w:u w:val="single"/>
          <w:lang w:eastAsia="zh-CN"/>
        </w:rPr>
        <w:t>三十</w:t>
      </w:r>
      <w:r>
        <w:rPr>
          <w:rFonts w:hint="eastAsia" w:ascii="宋体" w:hAnsi="宋体" w:eastAsia="宋体" w:cs="宋体"/>
          <w:sz w:val="21"/>
          <w:szCs w:val="21"/>
          <w:highlight w:val="none"/>
          <w:lang w:eastAsia="zh-CN"/>
        </w:rPr>
        <w:t>个工作日仍未支付的，乙方有权单方解除本合同。</w:t>
      </w:r>
    </w:p>
    <w:p w14:paraId="2ABECE1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12.2 甲方未按约定履行提供资料等义务，造成乙方无法按期提交工作成果的，甲方应顺延乙方的服务期限，乙方不承担违约责任。</w:t>
      </w:r>
    </w:p>
    <w:p w14:paraId="03277A5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1"/>
          <w:szCs w:val="21"/>
          <w:highlight w:val="none"/>
          <w:u w:val="single"/>
          <w:lang w:eastAsia="zh-CN"/>
        </w:rPr>
        <w:t>千分之五</w:t>
      </w:r>
      <w:r>
        <w:rPr>
          <w:rFonts w:hint="eastAsia" w:ascii="宋体" w:hAnsi="宋体" w:eastAsia="宋体" w:cs="宋体"/>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支付违约金，并不予退还履约保证金。</w:t>
      </w:r>
    </w:p>
    <w:p w14:paraId="52BC400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12.4 因乙方侵犯第三方的专利权、版权等知识产权而引起的任何责任，应由乙方承担，并使甲方免责。</w:t>
      </w:r>
    </w:p>
    <w:p w14:paraId="2B84C51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12.5 乙方违反保密义务的，应当对甲方因此所遭受的所有损失承担赔偿责任。</w:t>
      </w:r>
    </w:p>
    <w:p w14:paraId="7854C99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12.6 如乙方擅自变更或减少本合同所确定的项目组核心人员，乙方应向甲方支付人民币</w:t>
      </w:r>
      <w:r>
        <w:rPr>
          <w:rFonts w:hint="eastAsia" w:ascii="宋体" w:hAnsi="宋体" w:eastAsia="宋体" w:cs="宋体"/>
          <w:sz w:val="21"/>
          <w:szCs w:val="21"/>
          <w:highlight w:val="none"/>
          <w:u w:val="single"/>
          <w:lang w:val="en-US" w:eastAsia="zh-CN"/>
        </w:rPr>
        <w:t>1000</w:t>
      </w:r>
      <w:r>
        <w:rPr>
          <w:rFonts w:hint="eastAsia" w:ascii="宋体" w:hAnsi="宋体" w:eastAsia="宋体" w:cs="宋体"/>
          <w:sz w:val="21"/>
          <w:szCs w:val="21"/>
          <w:highlight w:val="none"/>
          <w:lang w:eastAsia="zh-CN"/>
        </w:rPr>
        <w:t>元/每人/每次的违约金，甲方可在应付服务费中扣除该违约金；同时乙方应根据甲方要求及时调整工作人员。</w:t>
      </w:r>
    </w:p>
    <w:p w14:paraId="29294EC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12.7 乙方擅自转包或分包本项目的，甲方有权解除本合同，要求乙方按服务费用的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支付违约金，并不予退还履约保证金。如前述款项不足以弥补甲方损失的，乙方应赔偿甲方因此遭受的全部损失。</w:t>
      </w:r>
    </w:p>
    <w:p w14:paraId="7735215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支付违约金，履约保证金不予退还。上述款项不足以弥补甲方损失的，乙方应赔偿甲方因此遭受的全部损失。</w:t>
      </w:r>
    </w:p>
    <w:p w14:paraId="6129FAD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12.9 任何一方违反其本合同项下的其他义务、保证或承诺，并给守约方造成实际损失的，应赔偿守约方实际遭受的损失。</w:t>
      </w:r>
    </w:p>
    <w:p w14:paraId="6DBE479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12.10 任何一方发生向对方支付违约金或赔偿金情形的，应当在索赔方发出索赔通知后</w:t>
      </w:r>
      <w:r>
        <w:rPr>
          <w:rFonts w:hint="eastAsia" w:ascii="宋体" w:hAnsi="宋体" w:eastAsia="宋体" w:cs="宋体"/>
          <w:sz w:val="21"/>
          <w:szCs w:val="21"/>
          <w:highlight w:val="none"/>
          <w:u w:val="single"/>
          <w:lang w:eastAsia="zh-CN"/>
        </w:rPr>
        <w:t xml:space="preserve"> 7 </w:t>
      </w:r>
      <w:r>
        <w:rPr>
          <w:rFonts w:hint="eastAsia" w:ascii="宋体" w:hAnsi="宋体" w:eastAsia="宋体" w:cs="宋体"/>
          <w:sz w:val="21"/>
          <w:szCs w:val="21"/>
          <w:highlight w:val="none"/>
          <w:lang w:eastAsia="zh-CN"/>
        </w:rPr>
        <w:t>日之内予以支付。索赔方尚有未向偿付方支付的款项的，偿付方同意索赔方从未支付款项中抵扣相应数额的款项。</w:t>
      </w:r>
    </w:p>
    <w:p w14:paraId="1BA25435">
      <w:pPr>
        <w:spacing w:line="360" w:lineRule="auto"/>
        <w:rPr>
          <w:rFonts w:hint="eastAsia" w:ascii="宋体" w:hAnsi="宋体" w:eastAsia="宋体" w:cs="宋体"/>
          <w:sz w:val="21"/>
          <w:szCs w:val="21"/>
          <w:highlight w:val="none"/>
          <w:lang w:eastAsia="zh-CN"/>
        </w:rPr>
      </w:pPr>
    </w:p>
    <w:p w14:paraId="009E65C6">
      <w:pPr>
        <w:spacing w:line="360" w:lineRule="auto"/>
        <w:rPr>
          <w:rFonts w:hint="eastAsia" w:ascii="宋体" w:hAnsi="宋体" w:eastAsia="宋体" w:cs="宋体"/>
          <w:b/>
          <w:sz w:val="21"/>
          <w:szCs w:val="21"/>
          <w:highlight w:val="none"/>
          <w:lang w:eastAsia="zh-CN"/>
        </w:rPr>
      </w:pPr>
      <w:bookmarkStart w:id="199" w:name="_Toc298258581"/>
      <w:bookmarkStart w:id="200" w:name="_Toc297806564"/>
      <w:bookmarkStart w:id="201" w:name="_Toc297806541"/>
      <w:bookmarkStart w:id="202" w:name="_Toc424651545"/>
      <w:r>
        <w:rPr>
          <w:rFonts w:hint="eastAsia" w:ascii="宋体" w:hAnsi="宋体" w:eastAsia="宋体" w:cs="宋体"/>
          <w:b/>
          <w:sz w:val="21"/>
          <w:szCs w:val="21"/>
          <w:highlight w:val="none"/>
          <w:lang w:eastAsia="zh-CN"/>
        </w:rPr>
        <w:t>第十三条  不可抗力</w:t>
      </w:r>
      <w:bookmarkEnd w:id="199"/>
      <w:bookmarkEnd w:id="200"/>
      <w:bookmarkEnd w:id="201"/>
      <w:bookmarkEnd w:id="202"/>
    </w:p>
    <w:p w14:paraId="555DA1CE">
      <w:pPr>
        <w:spacing w:line="360" w:lineRule="auto"/>
        <w:rPr>
          <w:rFonts w:hint="eastAsia" w:ascii="宋体" w:hAnsi="宋体" w:eastAsia="宋体" w:cs="宋体"/>
          <w:sz w:val="21"/>
          <w:szCs w:val="21"/>
          <w:highlight w:val="none"/>
          <w:lang w:eastAsia="zh-CN"/>
        </w:rPr>
      </w:pPr>
      <w:bookmarkStart w:id="203" w:name="_Toc169968033"/>
      <w:r>
        <w:rPr>
          <w:rFonts w:hint="eastAsia" w:ascii="宋体" w:hAnsi="宋体" w:eastAsia="宋体" w:cs="宋体"/>
          <w:sz w:val="21"/>
          <w:szCs w:val="21"/>
          <w:highlight w:val="none"/>
          <w:lang w:eastAsia="zh-CN"/>
        </w:rPr>
        <w:t>13.1</w:t>
      </w:r>
      <w:bookmarkEnd w:id="203"/>
      <w:r>
        <w:rPr>
          <w:rFonts w:hint="eastAsia" w:ascii="宋体" w:hAnsi="宋体" w:eastAsia="宋体" w:cs="宋体"/>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1F3468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1"/>
          <w:szCs w:val="21"/>
          <w:highlight w:val="none"/>
          <w:u w:val="single"/>
          <w:lang w:eastAsia="zh-CN"/>
        </w:rPr>
        <w:t xml:space="preserve"> 二十四（24）</w:t>
      </w:r>
      <w:r>
        <w:rPr>
          <w:rFonts w:hint="eastAsia" w:ascii="宋体" w:hAnsi="宋体" w:eastAsia="宋体" w:cs="宋体"/>
          <w:sz w:val="21"/>
          <w:szCs w:val="21"/>
          <w:highlight w:val="none"/>
          <w:lang w:eastAsia="zh-CN"/>
        </w:rPr>
        <w:t>小时内以书面形式通知对方， 在其后</w:t>
      </w:r>
      <w:r>
        <w:rPr>
          <w:rFonts w:hint="eastAsia" w:ascii="宋体" w:hAnsi="宋体" w:eastAsia="宋体" w:cs="宋体"/>
          <w:sz w:val="21"/>
          <w:szCs w:val="21"/>
          <w:highlight w:val="none"/>
          <w:u w:val="single"/>
          <w:lang w:eastAsia="zh-CN"/>
        </w:rPr>
        <w:t>十（10）</w:t>
      </w:r>
      <w:r>
        <w:rPr>
          <w:rFonts w:hint="eastAsia" w:ascii="宋体" w:hAnsi="宋体" w:eastAsia="宋体" w:cs="宋体"/>
          <w:sz w:val="21"/>
          <w:szCs w:val="21"/>
          <w:highlight w:val="none"/>
          <w:lang w:eastAsia="zh-CN"/>
        </w:rPr>
        <w:t>日内向对方提供有效证明文件。</w:t>
      </w:r>
    </w:p>
    <w:p w14:paraId="563028F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3B0905EF">
      <w:pPr>
        <w:spacing w:line="360" w:lineRule="auto"/>
        <w:rPr>
          <w:rFonts w:hint="eastAsia" w:ascii="宋体" w:hAnsi="宋体" w:eastAsia="宋体" w:cs="宋体"/>
          <w:b/>
          <w:bCs/>
          <w:sz w:val="21"/>
          <w:szCs w:val="21"/>
          <w:highlight w:val="none"/>
          <w:lang w:eastAsia="zh-CN"/>
        </w:rPr>
      </w:pPr>
    </w:p>
    <w:p w14:paraId="3247E1B6">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第十四条  廉洁规范条款</w:t>
      </w:r>
    </w:p>
    <w:p w14:paraId="02CD35A0">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E250760">
      <w:pPr>
        <w:spacing w:line="360" w:lineRule="auto"/>
        <w:rPr>
          <w:rFonts w:hint="eastAsia" w:ascii="宋体" w:hAnsi="宋体" w:eastAsia="宋体" w:cs="宋体"/>
          <w:b/>
          <w:sz w:val="21"/>
          <w:szCs w:val="21"/>
          <w:highlight w:val="none"/>
          <w:lang w:eastAsia="zh-CN"/>
        </w:rPr>
      </w:pPr>
      <w:bookmarkStart w:id="204" w:name="_Toc297806565"/>
      <w:bookmarkStart w:id="205" w:name="_Toc297806542"/>
      <w:bookmarkStart w:id="206" w:name="_Toc424651546"/>
      <w:bookmarkStart w:id="207" w:name="_Toc298258582"/>
    </w:p>
    <w:p w14:paraId="5D7A330E">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第十五条  争议解决</w:t>
      </w:r>
      <w:bookmarkEnd w:id="204"/>
      <w:bookmarkEnd w:id="205"/>
      <w:bookmarkEnd w:id="206"/>
      <w:bookmarkEnd w:id="207"/>
    </w:p>
    <w:p w14:paraId="238E0332">
      <w:pPr>
        <w:spacing w:line="360" w:lineRule="auto"/>
        <w:rPr>
          <w:rFonts w:hint="eastAsia" w:ascii="宋体" w:hAnsi="宋体" w:eastAsia="宋体" w:cs="宋体"/>
          <w:sz w:val="21"/>
          <w:szCs w:val="21"/>
          <w:highlight w:val="none"/>
          <w:lang w:eastAsia="zh-CN"/>
        </w:rPr>
      </w:pPr>
      <w:bookmarkStart w:id="208" w:name="_Toc424651547"/>
      <w:r>
        <w:rPr>
          <w:rFonts w:hint="eastAsia" w:ascii="宋体" w:hAnsi="宋体" w:eastAsia="宋体" w:cs="宋体"/>
          <w:sz w:val="21"/>
          <w:szCs w:val="21"/>
          <w:highlight w:val="none"/>
          <w:lang w:eastAsia="zh-CN"/>
        </w:rPr>
        <w:t>15.1 凡因执行本合同发生的与本合同有关的一切争议，双方应首先尽最大努力友好协商解决。</w:t>
      </w:r>
      <w:bookmarkEnd w:id="208"/>
    </w:p>
    <w:p w14:paraId="5407D16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15.2 争议发生后，如果无法通过协商或调解解决争议，则应将争议诉至</w:t>
      </w:r>
      <w:r>
        <w:rPr>
          <w:rFonts w:hint="eastAsia" w:ascii="宋体" w:hAnsi="宋体" w:eastAsia="宋体" w:cs="宋体"/>
          <w:sz w:val="21"/>
          <w:szCs w:val="21"/>
          <w:highlight w:val="none"/>
          <w:u w:val="single"/>
          <w:lang w:eastAsia="zh-CN"/>
        </w:rPr>
        <w:t>甲方所在地</w:t>
      </w:r>
      <w:r>
        <w:rPr>
          <w:rFonts w:hint="eastAsia" w:ascii="宋体" w:hAnsi="宋体" w:eastAsia="宋体" w:cs="宋体"/>
          <w:sz w:val="21"/>
          <w:szCs w:val="21"/>
          <w:highlight w:val="none"/>
          <w:lang w:eastAsia="zh-CN"/>
        </w:rPr>
        <w:t>人民法院通过诉讼方式解决。</w:t>
      </w:r>
    </w:p>
    <w:p w14:paraId="2BCE17FC">
      <w:pPr>
        <w:spacing w:line="360" w:lineRule="auto"/>
        <w:rPr>
          <w:rFonts w:hint="eastAsia" w:ascii="宋体" w:hAnsi="宋体" w:eastAsia="宋体" w:cs="宋体"/>
          <w:sz w:val="21"/>
          <w:szCs w:val="21"/>
          <w:highlight w:val="none"/>
          <w:lang w:eastAsia="zh-CN"/>
        </w:rPr>
      </w:pPr>
    </w:p>
    <w:p w14:paraId="2C75765D">
      <w:pPr>
        <w:spacing w:line="360" w:lineRule="auto"/>
        <w:rPr>
          <w:rFonts w:hint="eastAsia" w:ascii="宋体" w:hAnsi="宋体" w:eastAsia="宋体" w:cs="宋体"/>
          <w:b/>
          <w:sz w:val="21"/>
          <w:szCs w:val="21"/>
          <w:highlight w:val="none"/>
          <w:lang w:eastAsia="zh-CN"/>
        </w:rPr>
      </w:pPr>
      <w:bookmarkStart w:id="209" w:name="_Toc298258583"/>
      <w:bookmarkEnd w:id="209"/>
      <w:bookmarkStart w:id="210" w:name="_Toc298258585"/>
      <w:bookmarkEnd w:id="210"/>
      <w:bookmarkStart w:id="211" w:name="_Toc298258584"/>
      <w:bookmarkEnd w:id="211"/>
      <w:bookmarkStart w:id="212" w:name="_Toc298258586"/>
      <w:bookmarkEnd w:id="212"/>
      <w:bookmarkStart w:id="213" w:name="_Toc424651548"/>
      <w:bookmarkStart w:id="214" w:name="_Toc298258587"/>
      <w:bookmarkStart w:id="215" w:name="_Toc297806546"/>
      <w:bookmarkStart w:id="216" w:name="_Toc297806569"/>
      <w:r>
        <w:rPr>
          <w:rFonts w:hint="eastAsia" w:ascii="宋体" w:hAnsi="宋体" w:eastAsia="宋体" w:cs="宋体"/>
          <w:b/>
          <w:sz w:val="21"/>
          <w:szCs w:val="21"/>
          <w:highlight w:val="none"/>
          <w:lang w:eastAsia="zh-CN"/>
        </w:rPr>
        <w:t>第十六条  通知</w:t>
      </w:r>
      <w:bookmarkEnd w:id="213"/>
    </w:p>
    <w:p w14:paraId="36853E2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6ABEFE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各方的联络及通讯方法以各方的下列信息为准：</w:t>
      </w:r>
    </w:p>
    <w:p w14:paraId="29D0879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甲方： </w:t>
      </w:r>
    </w:p>
    <w:p w14:paraId="3569548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地址：_____________________</w:t>
      </w:r>
    </w:p>
    <w:p w14:paraId="3BD39F0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电话：_____________________</w:t>
      </w:r>
    </w:p>
    <w:p w14:paraId="6B63F63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收件人：_____________________</w:t>
      </w:r>
    </w:p>
    <w:p w14:paraId="02A3903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联系人：_____________________</w:t>
      </w:r>
    </w:p>
    <w:p w14:paraId="22BBB4CE">
      <w:pPr>
        <w:spacing w:line="360" w:lineRule="auto"/>
        <w:rPr>
          <w:rFonts w:hint="eastAsia" w:ascii="宋体" w:hAnsi="宋体" w:eastAsia="宋体" w:cs="宋体"/>
          <w:sz w:val="21"/>
          <w:szCs w:val="21"/>
          <w:highlight w:val="none"/>
          <w:lang w:eastAsia="zh-CN"/>
        </w:rPr>
      </w:pPr>
    </w:p>
    <w:p w14:paraId="6669EF74">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w:t>
      </w:r>
    </w:p>
    <w:p w14:paraId="15928E6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地址：_____________________</w:t>
      </w:r>
    </w:p>
    <w:p w14:paraId="1C20358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电话：_____________________</w:t>
      </w:r>
    </w:p>
    <w:p w14:paraId="4C21801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收件人：____________________</w:t>
      </w:r>
    </w:p>
    <w:p w14:paraId="7B3336D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联系人：__________________</w:t>
      </w:r>
    </w:p>
    <w:p w14:paraId="7F64386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6055D7D1">
      <w:pPr>
        <w:spacing w:line="360" w:lineRule="auto"/>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16.3 本条款为独立条款，不受协议整体或其他条款的效力的影响，始终有效。</w:t>
      </w:r>
      <w:bookmarkStart w:id="217" w:name="_Toc424651549"/>
    </w:p>
    <w:p w14:paraId="1C8A4B73">
      <w:pPr>
        <w:spacing w:line="360" w:lineRule="auto"/>
        <w:rPr>
          <w:rFonts w:hint="eastAsia" w:ascii="宋体" w:hAnsi="宋体" w:eastAsia="宋体" w:cs="宋体"/>
          <w:b/>
          <w:sz w:val="21"/>
          <w:szCs w:val="21"/>
          <w:highlight w:val="none"/>
          <w:lang w:eastAsia="zh-CN"/>
        </w:rPr>
      </w:pPr>
    </w:p>
    <w:p w14:paraId="2EB3DDC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第十七条  其他约定</w:t>
      </w:r>
      <w:bookmarkEnd w:id="214"/>
      <w:bookmarkEnd w:id="215"/>
      <w:bookmarkEnd w:id="216"/>
      <w:bookmarkEnd w:id="217"/>
    </w:p>
    <w:p w14:paraId="036919C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65D20F8E">
      <w:pPr>
        <w:pStyle w:val="24"/>
        <w:snapToGrid w:val="0"/>
        <w:spacing w:line="360" w:lineRule="auto"/>
        <w:rPr>
          <w:rFonts w:hint="eastAsia" w:hAnsi="宋体"/>
          <w:b/>
          <w:color w:val="auto"/>
          <w:sz w:val="21"/>
          <w:szCs w:val="21"/>
          <w:highlight w:val="none"/>
        </w:rPr>
      </w:pPr>
      <w:r>
        <w:rPr>
          <w:rFonts w:hint="eastAsia" w:hAnsi="宋体"/>
          <w:sz w:val="21"/>
          <w:szCs w:val="21"/>
          <w:highlight w:val="none"/>
        </w:rPr>
        <w:t>17.2 本合同的附件内容作为合同的组成部分，与本合同具有同等法律效力。未尽事宜由甲、乙双方另行协商并签订补充合同。</w:t>
      </w:r>
    </w:p>
    <w:p w14:paraId="7100C4E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17.3 本合同一式</w:t>
      </w:r>
      <w:r>
        <w:rPr>
          <w:rFonts w:hint="eastAsia" w:ascii="宋体" w:hAnsi="宋体" w:eastAsia="宋体" w:cs="宋体"/>
          <w:sz w:val="21"/>
          <w:szCs w:val="21"/>
          <w:highlight w:val="none"/>
          <w:u w:val="single"/>
          <w:lang w:eastAsia="zh-CN"/>
        </w:rPr>
        <w:t>9</w:t>
      </w:r>
      <w:r>
        <w:rPr>
          <w:rFonts w:hint="eastAsia" w:ascii="宋体" w:hAnsi="宋体" w:eastAsia="宋体" w:cs="宋体"/>
          <w:sz w:val="21"/>
          <w:szCs w:val="21"/>
          <w:highlight w:val="none"/>
          <w:lang w:eastAsia="zh-CN"/>
        </w:rPr>
        <w:t>份，其中正本</w:t>
      </w:r>
      <w:r>
        <w:rPr>
          <w:rFonts w:hint="eastAsia" w:ascii="宋体" w:hAnsi="宋体" w:eastAsia="宋体" w:cs="宋体"/>
          <w:sz w:val="21"/>
          <w:szCs w:val="21"/>
          <w:highlight w:val="none"/>
          <w:u w:val="single"/>
          <w:lang w:eastAsia="zh-CN"/>
        </w:rPr>
        <w:t>3</w:t>
      </w:r>
      <w:r>
        <w:rPr>
          <w:rFonts w:hint="eastAsia" w:ascii="宋体" w:hAnsi="宋体" w:eastAsia="宋体" w:cs="宋体"/>
          <w:sz w:val="21"/>
          <w:szCs w:val="21"/>
          <w:highlight w:val="none"/>
          <w:lang w:eastAsia="zh-CN"/>
        </w:rPr>
        <w:t>份，副本</w:t>
      </w:r>
      <w:r>
        <w:rPr>
          <w:rFonts w:hint="eastAsia" w:ascii="宋体" w:hAnsi="宋体" w:eastAsia="宋体" w:cs="宋体"/>
          <w:sz w:val="21"/>
          <w:szCs w:val="21"/>
          <w:highlight w:val="none"/>
          <w:u w:val="single"/>
          <w:lang w:eastAsia="zh-CN"/>
        </w:rPr>
        <w:t>6</w:t>
      </w:r>
      <w:r>
        <w:rPr>
          <w:rFonts w:hint="eastAsia" w:ascii="宋体" w:hAnsi="宋体" w:eastAsia="宋体" w:cs="宋体"/>
          <w:sz w:val="21"/>
          <w:szCs w:val="21"/>
          <w:highlight w:val="none"/>
          <w:lang w:eastAsia="zh-CN"/>
        </w:rPr>
        <w:t>份，甲方执</w:t>
      </w:r>
      <w:r>
        <w:rPr>
          <w:rFonts w:hint="eastAsia" w:ascii="宋体" w:hAnsi="宋体" w:eastAsia="宋体" w:cs="宋体"/>
          <w:sz w:val="21"/>
          <w:szCs w:val="21"/>
          <w:highlight w:val="none"/>
          <w:u w:val="single"/>
          <w:lang w:eastAsia="zh-CN"/>
        </w:rPr>
        <w:t>6</w:t>
      </w:r>
      <w:r>
        <w:rPr>
          <w:rFonts w:hint="eastAsia" w:ascii="宋体" w:hAnsi="宋体" w:eastAsia="宋体" w:cs="宋体"/>
          <w:sz w:val="21"/>
          <w:szCs w:val="21"/>
          <w:highlight w:val="none"/>
          <w:lang w:eastAsia="zh-CN"/>
        </w:rPr>
        <w:t>份，乙方执</w:t>
      </w:r>
      <w:r>
        <w:rPr>
          <w:rFonts w:hint="eastAsia" w:ascii="宋体" w:hAnsi="宋体" w:eastAsia="宋体" w:cs="宋体"/>
          <w:sz w:val="21"/>
          <w:szCs w:val="21"/>
          <w:highlight w:val="none"/>
          <w:u w:val="single"/>
          <w:lang w:eastAsia="zh-CN"/>
        </w:rPr>
        <w:t>3</w:t>
      </w:r>
      <w:r>
        <w:rPr>
          <w:rFonts w:hint="eastAsia" w:ascii="宋体" w:hAnsi="宋体" w:eastAsia="宋体" w:cs="宋体"/>
          <w:sz w:val="21"/>
          <w:szCs w:val="21"/>
          <w:highlight w:val="none"/>
          <w:lang w:eastAsia="zh-CN"/>
        </w:rPr>
        <w:t>份。正副本具有同等法律效力，如有冲突，以正本为准。</w:t>
      </w:r>
      <w:bookmarkEnd w:id="129"/>
      <w:bookmarkEnd w:id="130"/>
      <w:bookmarkEnd w:id="131"/>
      <w:bookmarkEnd w:id="132"/>
    </w:p>
    <w:p w14:paraId="633CD831">
      <w:pPr>
        <w:spacing w:line="360" w:lineRule="auto"/>
        <w:rPr>
          <w:rFonts w:hint="eastAsia" w:ascii="宋体" w:hAnsi="宋体" w:eastAsia="宋体" w:cs="宋体"/>
          <w:b/>
          <w:bCs/>
          <w:sz w:val="21"/>
          <w:szCs w:val="21"/>
          <w:highlight w:val="none"/>
          <w:lang w:eastAsia="zh-CN"/>
        </w:rPr>
      </w:pPr>
      <w:bookmarkStart w:id="218" w:name="_Hlk18249179"/>
    </w:p>
    <w:p w14:paraId="52ACD8FE">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 xml:space="preserve">第十八条  合同附件 </w:t>
      </w:r>
    </w:p>
    <w:bookmarkEnd w:id="218"/>
    <w:p w14:paraId="67F50B4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附件一：用户需求书</w:t>
      </w:r>
    </w:p>
    <w:p w14:paraId="50659B30">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61E0A5A7">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3CC8B51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4F56C01E">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104FC05">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510CEA6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31A7EAC8">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2ABD566A">
      <w:pPr>
        <w:rPr>
          <w:sz w:val="24"/>
          <w:highlight w:val="none"/>
        </w:rPr>
      </w:pPr>
      <w:r>
        <w:rPr>
          <w:sz w:val="24"/>
          <w:highlight w:val="none"/>
        </w:rPr>
        <w:br w:type="page"/>
      </w:r>
    </w:p>
    <w:p w14:paraId="0E0C4808">
      <w:pPr>
        <w:pStyle w:val="12"/>
        <w:spacing w:line="360" w:lineRule="exact"/>
        <w:jc w:val="center"/>
        <w:rPr>
          <w:rFonts w:hAnsi="宋体"/>
          <w:b/>
          <w:szCs w:val="24"/>
          <w:highlight w:val="none"/>
          <w:lang w:eastAsia="zh-CN"/>
        </w:rPr>
      </w:pPr>
      <w:r>
        <w:rPr>
          <w:rFonts w:hint="eastAsia" w:hAnsi="宋体"/>
          <w:b/>
          <w:szCs w:val="24"/>
          <w:highlight w:val="none"/>
          <w:lang w:eastAsia="zh-CN"/>
        </w:rPr>
        <w:t>（此页无正文，为合同签署页）</w:t>
      </w:r>
    </w:p>
    <w:p w14:paraId="6EA1655A">
      <w:pPr>
        <w:pStyle w:val="12"/>
        <w:rPr>
          <w:rFonts w:hAnsi="宋体"/>
          <w:b/>
          <w:szCs w:val="24"/>
          <w:highlight w:val="none"/>
          <w:lang w:eastAsia="zh-CN"/>
        </w:rPr>
      </w:pPr>
    </w:p>
    <w:p w14:paraId="6BE37A86">
      <w:pPr>
        <w:pStyle w:val="12"/>
        <w:rPr>
          <w:rFonts w:hAnsi="宋体"/>
          <w:b/>
          <w:szCs w:val="24"/>
          <w:highlight w:val="none"/>
          <w:lang w:eastAsia="zh-CN"/>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9"/>
                              <w:tabs>
                                <w:tab w:val="left" w:pos="180"/>
                              </w:tabs>
                              <w:rPr>
                                <w:rFonts w:hAnsi="宋体"/>
                                <w:b/>
                                <w:kern w:val="2"/>
                                <w:szCs w:val="24"/>
                                <w:lang w:eastAsia="zh-CN"/>
                              </w:rPr>
                            </w:pPr>
                          </w:p>
                          <w:p w14:paraId="6F45B431">
                            <w:pPr>
                              <w:pStyle w:val="9"/>
                              <w:tabs>
                                <w:tab w:val="left" w:pos="180"/>
                              </w:tabs>
                              <w:rPr>
                                <w:rFonts w:hAnsi="宋体"/>
                                <w:b/>
                                <w:kern w:val="2"/>
                                <w:szCs w:val="24"/>
                                <w:lang w:eastAsia="zh-CN"/>
                              </w:rPr>
                            </w:pPr>
                          </w:p>
                          <w:p w14:paraId="1CAC7F3D">
                            <w:pPr>
                              <w:pStyle w:val="9"/>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4E09B6BE">
                            <w:pPr>
                              <w:pStyle w:val="9"/>
                              <w:tabs>
                                <w:tab w:val="left" w:pos="180"/>
                              </w:tabs>
                              <w:rPr>
                                <w:rFonts w:hint="eastAsia" w:ascii="宋体" w:hAnsi="宋体" w:eastAsiaTheme="minorEastAsia" w:cstheme="minorBidi"/>
                                <w:b/>
                                <w:kern w:val="2"/>
                                <w:sz w:val="21"/>
                                <w:szCs w:val="24"/>
                                <w:lang w:val="en-US" w:eastAsia="zh-CN" w:bidi="ar-SA"/>
                              </w:rPr>
                            </w:pPr>
                          </w:p>
                          <w:p w14:paraId="337758B7">
                            <w:pPr>
                              <w:pStyle w:val="9"/>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3847F13F">
                            <w:pPr>
                              <w:rPr>
                                <w:rFonts w:hint="eastAsia" w:ascii="宋体" w:hAnsi="宋体"/>
                                <w:b/>
                                <w:szCs w:val="20"/>
                              </w:rPr>
                            </w:pPr>
                          </w:p>
                          <w:p w14:paraId="2DA1286D">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3EB37B3F">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27682DCA">
                      <w:pPr>
                        <w:pStyle w:val="9"/>
                        <w:tabs>
                          <w:tab w:val="left" w:pos="180"/>
                        </w:tabs>
                        <w:rPr>
                          <w:rFonts w:hAnsi="宋体"/>
                          <w:b/>
                          <w:kern w:val="2"/>
                          <w:szCs w:val="24"/>
                          <w:lang w:eastAsia="zh-CN"/>
                        </w:rPr>
                      </w:pPr>
                    </w:p>
                    <w:p w14:paraId="6F45B431">
                      <w:pPr>
                        <w:pStyle w:val="9"/>
                        <w:tabs>
                          <w:tab w:val="left" w:pos="180"/>
                        </w:tabs>
                        <w:rPr>
                          <w:rFonts w:hAnsi="宋体"/>
                          <w:b/>
                          <w:kern w:val="2"/>
                          <w:szCs w:val="24"/>
                          <w:lang w:eastAsia="zh-CN"/>
                        </w:rPr>
                      </w:pPr>
                    </w:p>
                    <w:p w14:paraId="1CAC7F3D">
                      <w:pPr>
                        <w:pStyle w:val="9"/>
                        <w:tabs>
                          <w:tab w:val="left" w:pos="180"/>
                        </w:tabs>
                        <w:rPr>
                          <w:rFonts w:hint="eastAsia"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地址：</w:t>
                      </w:r>
                    </w:p>
                    <w:p w14:paraId="4E09B6BE">
                      <w:pPr>
                        <w:pStyle w:val="9"/>
                        <w:tabs>
                          <w:tab w:val="left" w:pos="180"/>
                        </w:tabs>
                        <w:rPr>
                          <w:rFonts w:hint="eastAsia" w:ascii="宋体" w:hAnsi="宋体" w:eastAsiaTheme="minorEastAsia" w:cstheme="minorBidi"/>
                          <w:b/>
                          <w:kern w:val="2"/>
                          <w:sz w:val="21"/>
                          <w:szCs w:val="24"/>
                          <w:lang w:val="en-US" w:eastAsia="zh-CN" w:bidi="ar-SA"/>
                        </w:rPr>
                      </w:pPr>
                    </w:p>
                    <w:p w14:paraId="337758B7">
                      <w:pPr>
                        <w:pStyle w:val="9"/>
                        <w:tabs>
                          <w:tab w:val="left" w:pos="180"/>
                        </w:tabs>
                        <w:rPr>
                          <w:rFonts w:ascii="宋体" w:hAnsi="宋体" w:eastAsiaTheme="minorEastAsia" w:cstheme="minorBidi"/>
                          <w:b/>
                          <w:kern w:val="2"/>
                          <w:sz w:val="21"/>
                          <w:szCs w:val="24"/>
                          <w:lang w:val="en-US" w:eastAsia="zh-CN" w:bidi="ar-SA"/>
                        </w:rPr>
                      </w:pPr>
                      <w:r>
                        <w:rPr>
                          <w:rFonts w:hint="eastAsia" w:ascii="宋体" w:hAnsi="宋体" w:eastAsiaTheme="minorEastAsia" w:cstheme="minorBidi"/>
                          <w:b/>
                          <w:kern w:val="2"/>
                          <w:sz w:val="21"/>
                          <w:szCs w:val="24"/>
                          <w:lang w:val="en-US" w:eastAsia="zh-CN" w:bidi="ar-SA"/>
                        </w:rPr>
                        <w:t>法人（或授权）代表：</w:t>
                      </w:r>
                    </w:p>
                    <w:p w14:paraId="09C6670C">
                      <w:pPr>
                        <w:rPr>
                          <w:rFonts w:ascii="宋体" w:hAnsi="宋体"/>
                          <w:b/>
                        </w:rPr>
                      </w:pPr>
                      <w:r>
                        <w:rPr>
                          <w:rFonts w:ascii="宋体" w:hAnsi="宋体"/>
                          <w:b/>
                        </w:rPr>
                        <w:t>（签</w:t>
                      </w:r>
                      <w:r>
                        <w:rPr>
                          <w:rFonts w:hint="eastAsia" w:ascii="宋体" w:hAnsi="宋体"/>
                          <w:b/>
                        </w:rPr>
                        <w:t>名</w:t>
                      </w:r>
                      <w:r>
                        <w:rPr>
                          <w:rFonts w:ascii="宋体" w:hAnsi="宋体"/>
                          <w:b/>
                        </w:rPr>
                        <w:t>）</w:t>
                      </w:r>
                    </w:p>
                    <w:p w14:paraId="7EBB45BE">
                      <w:pPr>
                        <w:rPr>
                          <w:rFonts w:ascii="宋体" w:hAnsi="宋体"/>
                          <w:b/>
                          <w:szCs w:val="20"/>
                        </w:rPr>
                      </w:pPr>
                    </w:p>
                    <w:p w14:paraId="322B1FA1">
                      <w:pPr>
                        <w:rPr>
                          <w:rFonts w:ascii="宋体" w:hAnsi="宋体"/>
                          <w:b/>
                          <w:szCs w:val="20"/>
                        </w:rPr>
                      </w:pPr>
                    </w:p>
                    <w:p w14:paraId="3847F13F">
                      <w:pPr>
                        <w:rPr>
                          <w:rFonts w:hint="eastAsia" w:ascii="宋体" w:hAnsi="宋体"/>
                          <w:b/>
                          <w:szCs w:val="20"/>
                        </w:rPr>
                      </w:pPr>
                    </w:p>
                    <w:p w14:paraId="2DA1286D">
                      <w:r>
                        <w:rPr>
                          <w:rFonts w:hint="eastAsia" w:ascii="宋体" w:hAnsi="宋体"/>
                          <w:b/>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00F084E"/>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400F084E"/>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3816BBB8">
      <w:pPr>
        <w:pStyle w:val="12"/>
        <w:rPr>
          <w:rFonts w:hAnsi="宋体"/>
          <w:b/>
          <w:szCs w:val="24"/>
          <w:highlight w:val="none"/>
          <w:lang w:eastAsia="zh-CN"/>
        </w:rPr>
      </w:pPr>
    </w:p>
    <w:p w14:paraId="7B60F7EF">
      <w:pPr>
        <w:pStyle w:val="12"/>
        <w:rPr>
          <w:rFonts w:hAnsi="宋体"/>
          <w:b/>
          <w:szCs w:val="24"/>
          <w:highlight w:val="none"/>
          <w:lang w:eastAsia="zh-CN"/>
        </w:rPr>
      </w:pPr>
    </w:p>
    <w:p w14:paraId="1D7CF7F1">
      <w:pPr>
        <w:pStyle w:val="12"/>
        <w:spacing w:line="360" w:lineRule="auto"/>
        <w:rPr>
          <w:rFonts w:hAnsi="宋体"/>
          <w:b/>
          <w:szCs w:val="24"/>
          <w:highlight w:val="none"/>
          <w:lang w:eastAsia="zh-CN"/>
        </w:rPr>
      </w:pPr>
    </w:p>
    <w:p w14:paraId="4329168C">
      <w:pPr>
        <w:pStyle w:val="12"/>
        <w:spacing w:line="360" w:lineRule="auto"/>
        <w:rPr>
          <w:rFonts w:hAnsi="宋体"/>
          <w:b/>
          <w:szCs w:val="24"/>
          <w:highlight w:val="none"/>
          <w:lang w:eastAsia="zh-CN"/>
        </w:rPr>
      </w:pPr>
    </w:p>
    <w:p w14:paraId="71C359CB">
      <w:pPr>
        <w:pStyle w:val="12"/>
        <w:spacing w:line="360" w:lineRule="auto"/>
        <w:rPr>
          <w:rFonts w:hAnsi="宋体" w:cs="Arial"/>
          <w:highlight w:val="none"/>
          <w:lang w:eastAsia="zh-CN"/>
        </w:rPr>
      </w:pPr>
    </w:p>
    <w:p w14:paraId="400FF58D">
      <w:pPr>
        <w:pStyle w:val="12"/>
        <w:spacing w:line="360" w:lineRule="auto"/>
        <w:rPr>
          <w:highlight w:val="none"/>
          <w:lang w:eastAsia="zh-CN"/>
        </w:rPr>
        <w:sectPr>
          <w:footerReference r:id="rId3" w:type="default"/>
          <w:pgSz w:w="11906" w:h="16838"/>
          <w:pgMar w:top="1440" w:right="1247" w:bottom="1440" w:left="1247" w:header="851" w:footer="992" w:gutter="0"/>
          <w:pgNumType w:fmt="numberInDash" w:start="1"/>
          <w:cols w:space="720" w:num="1"/>
          <w:docGrid w:type="linesAndChars" w:linePitch="312" w:charSpace="0"/>
        </w:sectPr>
      </w:pPr>
    </w:p>
    <w:p w14:paraId="0EF1F925">
      <w:pPr>
        <w:pStyle w:val="2"/>
        <w:rPr>
          <w:highlight w:val="none"/>
        </w:rPr>
      </w:pPr>
    </w:p>
    <w:p w14:paraId="780D526D">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14:paraId="1F2FC0A7">
      <w:pPr>
        <w:widowControl/>
        <w:spacing w:line="357" w:lineRule="atLeast"/>
        <w:jc w:val="center"/>
        <w:rPr>
          <w:rFonts w:ascii="宋体" w:hAnsi="Times New Roman" w:eastAsia="宋体" w:cs="宋体"/>
          <w:b/>
          <w:bCs/>
          <w:sz w:val="28"/>
          <w:szCs w:val="28"/>
          <w:highlight w:val="none"/>
        </w:rPr>
      </w:pPr>
    </w:p>
    <w:p w14:paraId="4DC0BD64">
      <w:pPr>
        <w:spacing w:line="480" w:lineRule="auto"/>
        <w:jc w:val="center"/>
        <w:rPr>
          <w:rFonts w:hint="eastAsia" w:eastAsia="黑体"/>
          <w:sz w:val="20"/>
          <w:highlight w:val="none"/>
        </w:rPr>
      </w:pPr>
      <w:bookmarkStart w:id="219" w:name="_Toc14710_WPSOffice_Level1"/>
      <w:bookmarkEnd w:id="219"/>
      <w:r>
        <w:rPr>
          <w:rFonts w:hint="eastAsia" w:ascii="宋体" w:hAnsi="宋体"/>
          <w:b/>
          <w:sz w:val="28"/>
          <w:szCs w:val="28"/>
          <w:highlight w:val="none"/>
        </w:rPr>
        <w:t>一、资信证明格式文件</w:t>
      </w:r>
    </w:p>
    <w:p w14:paraId="01ABEDF4">
      <w:pPr>
        <w:rPr>
          <w:rFonts w:hint="eastAsia" w:eastAsia="黑体"/>
          <w:sz w:val="20"/>
          <w:highlight w:val="none"/>
        </w:rPr>
      </w:pPr>
    </w:p>
    <w:p w14:paraId="5F3AF01D">
      <w:pPr>
        <w:jc w:val="center"/>
        <w:rPr>
          <w:rFonts w:hint="eastAsia" w:ascii="宋体"/>
          <w:b/>
          <w:sz w:val="44"/>
          <w:szCs w:val="44"/>
          <w:highlight w:val="none"/>
        </w:rPr>
      </w:pPr>
      <w:bookmarkStart w:id="220" w:name="_Toc449028949"/>
      <w:bookmarkStart w:id="221" w:name="_Toc350698753"/>
      <w:r>
        <w:rPr>
          <w:rFonts w:hint="eastAsia" w:ascii="宋体"/>
          <w:b/>
          <w:sz w:val="44"/>
          <w:szCs w:val="44"/>
          <w:highlight w:val="none"/>
        </w:rPr>
        <w:t>资信证明文件</w:t>
      </w:r>
      <w:bookmarkEnd w:id="220"/>
      <w:bookmarkEnd w:id="221"/>
    </w:p>
    <w:p w14:paraId="1BB23E50">
      <w:pPr>
        <w:jc w:val="center"/>
        <w:rPr>
          <w:rFonts w:hint="eastAsia" w:ascii="宋体"/>
          <w:sz w:val="32"/>
          <w:szCs w:val="32"/>
          <w:highlight w:val="none"/>
        </w:rPr>
      </w:pPr>
      <w:r>
        <w:rPr>
          <w:rFonts w:hint="eastAsia" w:ascii="宋体"/>
          <w:sz w:val="32"/>
          <w:szCs w:val="32"/>
          <w:highlight w:val="none"/>
        </w:rPr>
        <w:t>（投标文件一）</w:t>
      </w:r>
    </w:p>
    <w:p w14:paraId="580F251F">
      <w:pPr>
        <w:jc w:val="center"/>
        <w:rPr>
          <w:rFonts w:hint="eastAsia" w:eastAsia="黑体"/>
          <w:sz w:val="44"/>
          <w:szCs w:val="44"/>
          <w:highlight w:val="none"/>
        </w:rPr>
      </w:pPr>
    </w:p>
    <w:p w14:paraId="78363C81">
      <w:pPr>
        <w:widowControl/>
        <w:spacing w:line="357" w:lineRule="atLeast"/>
        <w:jc w:val="center"/>
        <w:rPr>
          <w:rFonts w:ascii="宋体" w:hAnsi="宋体" w:eastAsia="宋体" w:cs="宋体"/>
          <w:sz w:val="28"/>
          <w:szCs w:val="28"/>
          <w:highlight w:val="none"/>
        </w:rPr>
      </w:pPr>
      <w:r>
        <w:rPr>
          <w:rFonts w:hint="eastAsia" w:ascii="宋体"/>
          <w:sz w:val="32"/>
          <w:szCs w:val="32"/>
          <w:highlight w:val="none"/>
          <w:u w:val="single"/>
          <w:lang w:val="en-US" w:eastAsia="zh-CN"/>
        </w:rPr>
        <w:t xml:space="preserve">        </w:t>
      </w:r>
      <w:r>
        <w:rPr>
          <w:rFonts w:hint="eastAsia" w:ascii="宋体"/>
          <w:sz w:val="32"/>
          <w:szCs w:val="32"/>
          <w:highlight w:val="none"/>
        </w:rPr>
        <w:t>项目</w:t>
      </w:r>
    </w:p>
    <w:p w14:paraId="61646827">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7F41B65">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81D22AF">
      <w:pPr>
        <w:pStyle w:val="5"/>
        <w:ind w:firstLine="560"/>
        <w:rPr>
          <w:sz w:val="28"/>
          <w:szCs w:val="28"/>
          <w:highlight w:val="none"/>
        </w:rPr>
      </w:pPr>
      <w:r>
        <w:rPr>
          <w:sz w:val="28"/>
          <w:szCs w:val="28"/>
          <w:highlight w:val="none"/>
        </w:rPr>
        <w:t xml:space="preserve"> </w:t>
      </w:r>
    </w:p>
    <w:p w14:paraId="533D2B4C">
      <w:pPr>
        <w:pStyle w:val="17"/>
        <w:widowControl/>
        <w:rPr>
          <w:highlight w:val="none"/>
        </w:rPr>
      </w:pPr>
      <w:r>
        <w:rPr>
          <w:highlight w:val="none"/>
        </w:rPr>
        <w:t xml:space="preserve"> </w:t>
      </w:r>
    </w:p>
    <w:p w14:paraId="2B0F8FA1">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E9E4A02">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49E79CD3">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803BD89">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D79029E">
      <w:pPr>
        <w:widowControl/>
        <w:spacing w:line="357" w:lineRule="atLeast"/>
        <w:jc w:val="center"/>
        <w:rPr>
          <w:rFonts w:ascii="宋体" w:hAnsi="宋体" w:eastAsia="宋体" w:cs="宋体"/>
          <w:color w:val="000000"/>
          <w:kern w:val="0"/>
          <w:sz w:val="32"/>
          <w:szCs w:val="32"/>
          <w:highlight w:val="none"/>
          <w:u w:color="000000"/>
          <w:lang w:bidi="ar"/>
        </w:rPr>
      </w:pPr>
    </w:p>
    <w:p w14:paraId="75BFCF8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7856CD84">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14:paraId="1E899981">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14:paraId="1A1C28D3">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14:paraId="0C8A82CA">
      <w:pPr>
        <w:widowControl/>
        <w:spacing w:line="400" w:lineRule="exact"/>
        <w:ind w:firstLine="562" w:firstLineChars="200"/>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7608C17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14:paraId="786D1D7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（2）投标人有效的</w:t>
      </w:r>
      <w:r>
        <w:rPr>
          <w:rFonts w:hint="eastAsia" w:ascii="宋体" w:hAnsi="Times New Roman" w:eastAsia="宋体" w:cs="Times New Roman"/>
          <w:szCs w:val="21"/>
          <w:highlight w:val="none"/>
          <w:lang w:val="en-US" w:eastAsia="zh-CN"/>
        </w:rPr>
        <w:t>企业</w:t>
      </w:r>
      <w:r>
        <w:rPr>
          <w:rFonts w:hint="eastAsia" w:ascii="宋体" w:hAnsi="Times New Roman" w:eastAsia="宋体" w:cs="Times New Roman"/>
          <w:szCs w:val="21"/>
          <w:highlight w:val="none"/>
        </w:rPr>
        <w:t>营业执照；</w:t>
      </w:r>
    </w:p>
    <w:p w14:paraId="41ED2415">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14:paraId="4708386A">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14:paraId="33C0526C">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（5）招标文件中要求的资信评审（评分）的支持资料；</w:t>
      </w:r>
    </w:p>
    <w:p w14:paraId="1733C2FD">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（6）投标人认为需要提供的其他资信证明材料。</w:t>
      </w:r>
    </w:p>
    <w:p w14:paraId="35569F26">
      <w:pPr>
        <w:widowControl/>
        <w:autoSpaceDE w:val="0"/>
        <w:spacing w:line="480" w:lineRule="auto"/>
        <w:ind w:left="720"/>
        <w:jc w:val="center"/>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14:paraId="44346D12">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63BE0D43">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14:paraId="59F98429">
      <w:pPr>
        <w:pStyle w:val="32"/>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70BE9283">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3255531D">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3EA70D3">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5F98A808">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77539D3B">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48A14116">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32C68984">
      <w:pPr>
        <w:spacing w:line="400" w:lineRule="exact"/>
        <w:rPr>
          <w:rFonts w:ascii="宋体"/>
          <w:sz w:val="24"/>
          <w:highlight w:val="none"/>
        </w:rPr>
      </w:pPr>
      <w:r>
        <w:rPr>
          <w:rFonts w:hint="eastAsia" w:ascii="宋体"/>
          <w:sz w:val="24"/>
          <w:highlight w:val="none"/>
        </w:rPr>
        <w:t>特此证明。</w:t>
      </w:r>
    </w:p>
    <w:p w14:paraId="196B15C2">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14:paraId="6460504B">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4BC126D2">
      <w:pPr>
        <w:pStyle w:val="32"/>
        <w:spacing w:before="312" w:beforeLines="100" w:after="312" w:afterLines="100" w:line="400" w:lineRule="exact"/>
        <w:ind w:firstLine="180" w:firstLineChars="75"/>
        <w:rPr>
          <w:rFonts w:hint="eastAsia" w:ascii="宋体"/>
          <w:color w:val="auto"/>
          <w:sz w:val="24"/>
          <w:szCs w:val="24"/>
          <w:highlight w:val="none"/>
        </w:rPr>
      </w:pPr>
      <w:r>
        <w:rPr>
          <w:rFonts w:hint="eastAsia" w:ascii="宋体"/>
          <w:color w:val="auto"/>
          <w:sz w:val="24"/>
          <w:szCs w:val="24"/>
          <w:highlight w:val="none"/>
        </w:rPr>
        <w:t>2.授权委托书</w:t>
      </w:r>
      <w:bookmarkStart w:id="231" w:name="_GoBack"/>
      <w:bookmarkEnd w:id="231"/>
    </w:p>
    <w:p w14:paraId="1FEEEF31">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14:paraId="1A0E7CC5">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14:paraId="2C0C5FA2">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14:paraId="58133868">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14:paraId="319037C9">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14:paraId="1670E8ED">
      <w:pPr>
        <w:widowControl/>
        <w:spacing w:line="360" w:lineRule="auto"/>
        <w:rPr>
          <w:rFonts w:ascii="宋体" w:hAnsi="宋体" w:eastAsia="宋体" w:cs="宋体"/>
          <w:b/>
          <w:sz w:val="24"/>
          <w:highlight w:val="none"/>
        </w:rPr>
      </w:pPr>
    </w:p>
    <w:p w14:paraId="66C8AE8D">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14:paraId="2D6C5E2C">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14:paraId="31675DA8">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14:paraId="67D7152F">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14:paraId="0C9BBBE3">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14:paraId="3363A55F">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03DFC0DB">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576DBEFD">
      <w:pPr>
        <w:spacing w:line="360" w:lineRule="exact"/>
        <w:ind w:firstLine="413" w:firstLineChars="147"/>
        <w:jc w:val="left"/>
        <w:rPr>
          <w:rFonts w:ascii="宋体" w:hAnsi="宋体" w:eastAsia="宋体" w:cs="宋体"/>
          <w:b/>
          <w:color w:val="000000"/>
          <w:kern w:val="0"/>
          <w:sz w:val="28"/>
          <w:szCs w:val="28"/>
          <w:highlight w:val="none"/>
          <w:u w:color="000000"/>
          <w:lang w:bidi="ar"/>
        </w:rPr>
      </w:pPr>
    </w:p>
    <w:p w14:paraId="673DB21F">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14:paraId="1659810C">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14:paraId="5DB7A2BA">
      <w:pPr>
        <w:adjustRightInd w:val="0"/>
        <w:snapToGrid w:val="0"/>
        <w:spacing w:line="400" w:lineRule="exact"/>
        <w:ind w:firstLine="420" w:firstLineChars="200"/>
        <w:rPr>
          <w:rFonts w:ascii="宋体" w:hAnsi="宋体"/>
          <w:color w:val="000000"/>
          <w:szCs w:val="21"/>
          <w:highlight w:val="none"/>
        </w:rPr>
      </w:pPr>
      <w:bookmarkStart w:id="222" w:name="_Toc451384148"/>
      <w:bookmarkStart w:id="223" w:name="_Toc425084385"/>
      <w:r>
        <w:rPr>
          <w:rFonts w:hint="eastAsia" w:ascii="宋体" w:hAnsi="宋体"/>
          <w:color w:val="000000"/>
          <w:szCs w:val="21"/>
          <w:highlight w:val="none"/>
        </w:rPr>
        <w:t>一、将遵循公</w:t>
      </w:r>
      <w:bookmarkStart w:id="224" w:name="_Toc503196197"/>
      <w:bookmarkStart w:id="225" w:name="_Toc506107356"/>
      <w:bookmarkStart w:id="226" w:name="_Toc26598"/>
      <w:r>
        <w:rPr>
          <w:rFonts w:hint="eastAsia" w:ascii="宋体" w:hAnsi="宋体"/>
          <w:color w:val="000000"/>
          <w:szCs w:val="21"/>
          <w:highlight w:val="none"/>
        </w:rPr>
        <w:t>开、公正和诚实信用</w:t>
      </w:r>
      <w:bookmarkEnd w:id="224"/>
      <w:bookmarkEnd w:id="225"/>
      <w:r>
        <w:rPr>
          <w:rFonts w:hint="eastAsia" w:ascii="宋体" w:hAnsi="宋体"/>
          <w:color w:val="000000"/>
          <w:szCs w:val="21"/>
          <w:highlight w:val="none"/>
        </w:rPr>
        <w:t>的</w:t>
      </w:r>
      <w:bookmarkEnd w:id="226"/>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18BCA622">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7147071D">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027E59A0">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28468C1F">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474AB88B">
      <w:pPr>
        <w:adjustRightInd w:val="0"/>
        <w:snapToGrid w:val="0"/>
        <w:spacing w:line="400" w:lineRule="exact"/>
        <w:ind w:firstLine="420" w:firstLineChars="200"/>
        <w:rPr>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w:t>
      </w:r>
      <w:bookmarkStart w:id="227" w:name="OLE_LINK134"/>
      <w:bookmarkStart w:id="228" w:name="OLE_LINK133"/>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227"/>
      <w:bookmarkEnd w:id="228"/>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7DD8CF70">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52BC8A26">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E7EB1CF">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64F7BC4">
      <w:pPr>
        <w:spacing w:line="400" w:lineRule="exact"/>
        <w:ind w:firstLine="420" w:firstLineChars="200"/>
        <w:rPr>
          <w:rFonts w:ascii="宋体" w:hAnsi="宋体"/>
          <w:szCs w:val="21"/>
          <w:highlight w:val="none"/>
        </w:rPr>
      </w:pPr>
    </w:p>
    <w:p w14:paraId="7204B2DB">
      <w:pPr>
        <w:spacing w:line="400" w:lineRule="exact"/>
        <w:jc w:val="right"/>
        <w:rPr>
          <w:rFonts w:ascii="方正仿宋_GB2312" w:eastAsia="方正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4562DEC5">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013085BE">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14:paraId="66624AC3">
      <w:pPr>
        <w:keepNext/>
        <w:keepLines/>
        <w:spacing w:line="300" w:lineRule="exact"/>
        <w:jc w:val="center"/>
        <w:outlineLvl w:val="2"/>
        <w:rPr>
          <w:b/>
          <w:bCs/>
          <w:sz w:val="28"/>
          <w:szCs w:val="28"/>
          <w:highlight w:val="none"/>
        </w:rPr>
      </w:pPr>
    </w:p>
    <w:p w14:paraId="118BB3EC">
      <w:pPr>
        <w:keepNext/>
        <w:keepLines/>
        <w:spacing w:line="360" w:lineRule="auto"/>
        <w:jc w:val="center"/>
        <w:outlineLvl w:val="2"/>
        <w:rPr>
          <w:b/>
          <w:bCs/>
          <w:sz w:val="28"/>
          <w:szCs w:val="28"/>
          <w:highlight w:val="none"/>
        </w:rPr>
      </w:pPr>
      <w:r>
        <w:rPr>
          <w:rFonts w:hint="eastAsia"/>
          <w:b/>
          <w:bCs/>
          <w:sz w:val="28"/>
          <w:szCs w:val="28"/>
          <w:highlight w:val="none"/>
        </w:rPr>
        <w:t>服务承诺书</w:t>
      </w:r>
    </w:p>
    <w:p w14:paraId="075232A6">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3D6512DA">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14:paraId="10F364A1">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14:paraId="19047FAB">
      <w:pPr>
        <w:spacing w:line="360" w:lineRule="auto"/>
        <w:rPr>
          <w:rFonts w:ascii="宋体" w:hAnsi="宋体"/>
          <w:color w:val="000000"/>
          <w:sz w:val="24"/>
          <w:highlight w:val="none"/>
        </w:rPr>
      </w:pPr>
      <w:r>
        <w:rPr>
          <w:rFonts w:hint="eastAsia" w:ascii="宋体" w:hAnsi="宋体"/>
          <w:color w:val="000000"/>
          <w:sz w:val="24"/>
          <w:highlight w:val="none"/>
        </w:rPr>
        <w:t> </w:t>
      </w:r>
    </w:p>
    <w:p w14:paraId="27058FCA">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14C9E81D">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14:paraId="066E1B97">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4B7AA1A0">
      <w:pPr>
        <w:spacing w:line="360" w:lineRule="auto"/>
        <w:ind w:firstLine="4320" w:firstLineChars="1800"/>
        <w:jc w:val="left"/>
        <w:rPr>
          <w:rFonts w:ascii="宋体" w:hAnsi="宋体"/>
          <w:color w:val="000000"/>
          <w:sz w:val="24"/>
          <w:highlight w:val="none"/>
        </w:rPr>
      </w:pPr>
    </w:p>
    <w:p w14:paraId="2FFFC9B2">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1BEB30D">
      <w:pPr>
        <w:spacing w:line="400" w:lineRule="exact"/>
        <w:ind w:firstLine="482" w:firstLineChars="200"/>
        <w:rPr>
          <w:rFonts w:ascii="宋体" w:hAnsi="宋体"/>
          <w:b/>
          <w:color w:val="000000"/>
          <w:sz w:val="24"/>
          <w:highlight w:val="none"/>
        </w:rPr>
      </w:pPr>
    </w:p>
    <w:bookmarkEnd w:id="222"/>
    <w:bookmarkEnd w:id="223"/>
    <w:p w14:paraId="3B3955DB">
      <w:pPr>
        <w:jc w:val="center"/>
        <w:rPr>
          <w:rFonts w:ascii="宋体" w:hAnsi="宋体"/>
          <w:b/>
          <w:sz w:val="30"/>
          <w:szCs w:val="30"/>
          <w:highlight w:val="none"/>
        </w:rPr>
      </w:pPr>
      <w:r>
        <w:rPr>
          <w:rFonts w:hint="eastAsia" w:ascii="宋体" w:hAnsi="宋体"/>
          <w:b/>
          <w:sz w:val="30"/>
          <w:szCs w:val="30"/>
          <w:highlight w:val="none"/>
        </w:rPr>
        <w:br w:type="page"/>
      </w:r>
    </w:p>
    <w:p w14:paraId="29750494">
      <w:pPr>
        <w:widowControl/>
        <w:jc w:val="center"/>
        <w:rPr>
          <w:rFonts w:hint="eastAsia" w:ascii="宋体" w:hAnsi="宋体"/>
          <w:b/>
          <w:sz w:val="28"/>
          <w:szCs w:val="28"/>
          <w:highlight w:val="none"/>
        </w:rPr>
      </w:pPr>
      <w:r>
        <w:rPr>
          <w:rFonts w:hint="eastAsia" w:ascii="宋体" w:hAnsi="宋体"/>
          <w:b/>
          <w:sz w:val="28"/>
          <w:szCs w:val="28"/>
          <w:highlight w:val="none"/>
        </w:rPr>
        <w:t>二、技术标格式文件</w:t>
      </w:r>
    </w:p>
    <w:p w14:paraId="3A10B31A">
      <w:pPr>
        <w:pStyle w:val="5"/>
        <w:rPr>
          <w:rFonts w:hint="eastAsia"/>
          <w:highlight w:val="none"/>
        </w:rPr>
      </w:pPr>
    </w:p>
    <w:p w14:paraId="1E4CEA7A">
      <w:pPr>
        <w:jc w:val="center"/>
        <w:rPr>
          <w:rFonts w:hint="eastAsia" w:ascii="宋体"/>
          <w:b/>
          <w:sz w:val="44"/>
          <w:szCs w:val="44"/>
          <w:highlight w:val="none"/>
        </w:rPr>
      </w:pPr>
      <w:r>
        <w:rPr>
          <w:rFonts w:hint="eastAsia" w:ascii="宋体"/>
          <w:b/>
          <w:sz w:val="44"/>
          <w:szCs w:val="44"/>
          <w:highlight w:val="none"/>
        </w:rPr>
        <w:t>技术标</w:t>
      </w:r>
    </w:p>
    <w:p w14:paraId="0697AFE5">
      <w:pPr>
        <w:jc w:val="center"/>
        <w:rPr>
          <w:rFonts w:hint="eastAsia" w:ascii="宋体"/>
          <w:sz w:val="32"/>
          <w:szCs w:val="32"/>
          <w:highlight w:val="none"/>
        </w:rPr>
      </w:pPr>
      <w:r>
        <w:rPr>
          <w:rFonts w:hint="eastAsia" w:ascii="宋体"/>
          <w:sz w:val="32"/>
          <w:szCs w:val="32"/>
          <w:highlight w:val="none"/>
        </w:rPr>
        <w:t>（投标文件二）</w:t>
      </w:r>
    </w:p>
    <w:p w14:paraId="5FE59CF4">
      <w:pPr>
        <w:jc w:val="center"/>
        <w:rPr>
          <w:rFonts w:hint="eastAsia" w:eastAsia="黑体"/>
          <w:sz w:val="44"/>
          <w:szCs w:val="44"/>
          <w:highlight w:val="none"/>
        </w:rPr>
      </w:pPr>
    </w:p>
    <w:p w14:paraId="1D6C5C01">
      <w:pPr>
        <w:jc w:val="center"/>
        <w:rPr>
          <w:rFonts w:hint="eastAsia" w:ascii="宋体"/>
          <w:sz w:val="32"/>
          <w:szCs w:val="32"/>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4E830435">
      <w:pPr>
        <w:rPr>
          <w:rFonts w:hint="eastAsia" w:ascii="宋体"/>
          <w:sz w:val="28"/>
          <w:szCs w:val="28"/>
          <w:highlight w:val="none"/>
        </w:rPr>
      </w:pPr>
    </w:p>
    <w:p w14:paraId="2FA6A607">
      <w:pPr>
        <w:widowControl/>
        <w:spacing w:line="357" w:lineRule="atLeast"/>
        <w:rPr>
          <w:rFonts w:hint="eastAsia" w:ascii="宋体" w:hAnsi="宋体" w:eastAsia="宋体" w:cs="宋体"/>
          <w:color w:val="000000"/>
          <w:kern w:val="0"/>
          <w:sz w:val="28"/>
          <w:szCs w:val="28"/>
          <w:highlight w:val="none"/>
          <w:u w:color="000000"/>
          <w:lang w:bidi="ar"/>
        </w:rPr>
      </w:pPr>
      <w:r>
        <w:rPr>
          <w:rFonts w:hint="eastAsia" w:ascii="宋体" w:hAnsi="宋体" w:eastAsia="宋体" w:cs="宋体"/>
          <w:color w:val="000000"/>
          <w:kern w:val="0"/>
          <w:sz w:val="28"/>
          <w:szCs w:val="28"/>
          <w:highlight w:val="none"/>
          <w:u w:color="000000"/>
          <w:lang w:bidi="ar"/>
        </w:rPr>
        <w:t xml:space="preserve"> </w:t>
      </w:r>
    </w:p>
    <w:p w14:paraId="3463B1F3">
      <w:pPr>
        <w:pStyle w:val="2"/>
        <w:rPr>
          <w:highlight w:val="none"/>
        </w:rPr>
      </w:pPr>
    </w:p>
    <w:p w14:paraId="0A247288">
      <w:pPr>
        <w:pStyle w:val="5"/>
        <w:ind w:firstLine="560"/>
        <w:rPr>
          <w:sz w:val="28"/>
          <w:szCs w:val="28"/>
          <w:highlight w:val="none"/>
        </w:rPr>
      </w:pPr>
      <w:r>
        <w:rPr>
          <w:sz w:val="28"/>
          <w:szCs w:val="28"/>
          <w:highlight w:val="none"/>
        </w:rPr>
        <w:t xml:space="preserve"> </w:t>
      </w:r>
    </w:p>
    <w:p w14:paraId="084706D9">
      <w:pPr>
        <w:pStyle w:val="17"/>
        <w:widowControl/>
        <w:rPr>
          <w:highlight w:val="none"/>
        </w:rPr>
      </w:pPr>
      <w:r>
        <w:rPr>
          <w:highlight w:val="none"/>
        </w:rPr>
        <w:t xml:space="preserve"> </w:t>
      </w:r>
    </w:p>
    <w:p w14:paraId="5831FA3A">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7EE01DF1">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5FF1CC2B">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62AF7B81">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767B45F8">
      <w:pPr>
        <w:widowControl/>
        <w:spacing w:line="357" w:lineRule="atLeast"/>
        <w:jc w:val="center"/>
        <w:rPr>
          <w:rFonts w:ascii="宋体" w:hAnsi="宋体" w:eastAsia="宋体" w:cs="宋体"/>
          <w:color w:val="000000"/>
          <w:kern w:val="0"/>
          <w:sz w:val="32"/>
          <w:szCs w:val="32"/>
          <w:highlight w:val="none"/>
          <w:u w:color="000000"/>
          <w:lang w:bidi="ar"/>
        </w:rPr>
      </w:pPr>
    </w:p>
    <w:p w14:paraId="5C71DEE4">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2E66F1C6">
      <w:pPr>
        <w:rPr>
          <w:rFonts w:ascii="宋体" w:hAnsi="宋体"/>
          <w:b/>
          <w:sz w:val="30"/>
          <w:szCs w:val="30"/>
          <w:highlight w:val="none"/>
        </w:rPr>
      </w:pPr>
      <w:r>
        <w:rPr>
          <w:rFonts w:hint="eastAsia" w:ascii="宋体" w:hAnsi="宋体"/>
          <w:b/>
          <w:sz w:val="30"/>
          <w:szCs w:val="30"/>
          <w:highlight w:val="none"/>
        </w:rPr>
        <w:br w:type="page"/>
      </w:r>
    </w:p>
    <w:p w14:paraId="5B10A485">
      <w:pPr>
        <w:widowControl/>
        <w:spacing w:line="720" w:lineRule="auto"/>
        <w:jc w:val="center"/>
        <w:rPr>
          <w:highlight w:val="none"/>
        </w:rPr>
      </w:pPr>
      <w:r>
        <w:rPr>
          <w:highlight w:val="none"/>
        </w:rPr>
        <w:t xml:space="preserve"> </w:t>
      </w:r>
    </w:p>
    <w:p w14:paraId="798CC367">
      <w:pPr>
        <w:widowControl/>
        <w:spacing w:line="720" w:lineRule="auto"/>
        <w:jc w:val="center"/>
        <w:rPr>
          <w:rFonts w:ascii="宋体" w:hAnsi="宋体" w:eastAsia="宋体" w:cs="宋体"/>
          <w:b/>
          <w:sz w:val="36"/>
          <w:szCs w:val="36"/>
          <w:highlight w:val="none"/>
        </w:rPr>
      </w:pP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0EC16C8D">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379F5F50">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（1）服务方案；</w:t>
      </w:r>
    </w:p>
    <w:p w14:paraId="231AA701">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（2）产品质量及安全保证措施；</w:t>
      </w:r>
    </w:p>
    <w:p w14:paraId="70D8BFA1">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（3）样品；</w:t>
      </w:r>
    </w:p>
    <w:p w14:paraId="2F10C00E">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（4）投标人认为需要提供的其他</w:t>
      </w:r>
      <w:r>
        <w:rPr>
          <w:rFonts w:hint="eastAsia" w:ascii="宋体" w:hAnsi="Times New Roman" w:eastAsia="宋体" w:cs="Times New Roman"/>
          <w:szCs w:val="21"/>
          <w:highlight w:val="none"/>
          <w:lang w:val="en-US" w:eastAsia="zh-CN"/>
        </w:rPr>
        <w:t>技术</w:t>
      </w:r>
      <w:r>
        <w:rPr>
          <w:rFonts w:hint="eastAsia" w:ascii="宋体" w:hAnsi="Times New Roman" w:eastAsia="宋体" w:cs="Times New Roman"/>
          <w:szCs w:val="21"/>
          <w:highlight w:val="none"/>
        </w:rPr>
        <w:t>证明材料。</w:t>
      </w:r>
    </w:p>
    <w:p w14:paraId="149C9519">
      <w:pPr>
        <w:rPr>
          <w:rFonts w:ascii="宋体" w:hAnsi="宋体" w:eastAsia="宋体" w:cs="宋体"/>
          <w:b/>
          <w:color w:val="000000"/>
          <w:kern w:val="0"/>
          <w:sz w:val="28"/>
          <w:szCs w:val="28"/>
          <w:highlight w:val="none"/>
          <w:u w:color="000000"/>
          <w:lang w:bidi="ar"/>
        </w:rPr>
      </w:pPr>
    </w:p>
    <w:p w14:paraId="746BEC8F">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21FF7A68">
      <w:pPr>
        <w:spacing w:line="480" w:lineRule="auto"/>
        <w:jc w:val="center"/>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、商务标格式文件</w:t>
      </w:r>
    </w:p>
    <w:p w14:paraId="580790B9">
      <w:pPr>
        <w:rPr>
          <w:rFonts w:hint="eastAsia" w:ascii="宋体"/>
          <w:sz w:val="20"/>
          <w:highlight w:val="none"/>
        </w:rPr>
      </w:pPr>
    </w:p>
    <w:p w14:paraId="69162FDE">
      <w:pPr>
        <w:jc w:val="center"/>
        <w:rPr>
          <w:rFonts w:hint="eastAsia" w:ascii="宋体"/>
          <w:b/>
          <w:sz w:val="44"/>
          <w:szCs w:val="44"/>
          <w:highlight w:val="none"/>
        </w:rPr>
      </w:pPr>
      <w:bookmarkStart w:id="229" w:name="_Toc449028954"/>
    </w:p>
    <w:p w14:paraId="5F3C6E3F">
      <w:pPr>
        <w:jc w:val="center"/>
        <w:rPr>
          <w:rFonts w:hint="eastAsia" w:ascii="宋体"/>
          <w:b/>
          <w:sz w:val="44"/>
          <w:szCs w:val="44"/>
          <w:highlight w:val="none"/>
        </w:rPr>
      </w:pPr>
      <w:r>
        <w:rPr>
          <w:rFonts w:hint="eastAsia" w:ascii="宋体"/>
          <w:b/>
          <w:sz w:val="44"/>
          <w:szCs w:val="44"/>
          <w:highlight w:val="none"/>
        </w:rPr>
        <w:t>商务标</w:t>
      </w:r>
      <w:bookmarkEnd w:id="229"/>
    </w:p>
    <w:p w14:paraId="6243CEDE">
      <w:pPr>
        <w:jc w:val="center"/>
        <w:rPr>
          <w:rFonts w:hint="eastAsia" w:ascii="宋体"/>
          <w:sz w:val="36"/>
          <w:szCs w:val="36"/>
          <w:highlight w:val="none"/>
        </w:rPr>
      </w:pPr>
      <w:r>
        <w:rPr>
          <w:rFonts w:hint="eastAsia" w:ascii="宋体"/>
          <w:sz w:val="44"/>
          <w:szCs w:val="44"/>
          <w:highlight w:val="none"/>
        </w:rPr>
        <w:t>（</w:t>
      </w:r>
      <w:r>
        <w:rPr>
          <w:rFonts w:hint="eastAsia" w:ascii="宋体"/>
          <w:sz w:val="36"/>
          <w:szCs w:val="36"/>
          <w:highlight w:val="none"/>
        </w:rPr>
        <w:t>投标文件</w:t>
      </w:r>
      <w:r>
        <w:rPr>
          <w:rFonts w:hint="eastAsia" w:ascii="宋体"/>
          <w:sz w:val="36"/>
          <w:szCs w:val="36"/>
          <w:highlight w:val="none"/>
          <w:lang w:val="en-US" w:eastAsia="zh-CN"/>
        </w:rPr>
        <w:t>三</w:t>
      </w:r>
      <w:r>
        <w:rPr>
          <w:rFonts w:hint="eastAsia" w:ascii="宋体"/>
          <w:sz w:val="36"/>
          <w:szCs w:val="36"/>
          <w:highlight w:val="none"/>
        </w:rPr>
        <w:t>）</w:t>
      </w:r>
    </w:p>
    <w:p w14:paraId="62530522">
      <w:pPr>
        <w:jc w:val="center"/>
        <w:rPr>
          <w:rFonts w:hint="eastAsia" w:ascii="宋体"/>
          <w:sz w:val="36"/>
          <w:szCs w:val="36"/>
          <w:highlight w:val="none"/>
        </w:rPr>
      </w:pPr>
    </w:p>
    <w:p w14:paraId="34D7E0DA">
      <w:pPr>
        <w:jc w:val="center"/>
        <w:rPr>
          <w:rFonts w:hint="eastAsia" w:ascii="宋体"/>
          <w:sz w:val="28"/>
          <w:szCs w:val="28"/>
          <w:highlight w:val="none"/>
        </w:rPr>
      </w:pPr>
      <w:r>
        <w:rPr>
          <w:rFonts w:hint="eastAsia" w:ascii="宋体"/>
          <w:sz w:val="32"/>
          <w:szCs w:val="32"/>
          <w:highlight w:val="none"/>
          <w:u w:val="single"/>
        </w:rPr>
        <w:t xml:space="preserve">        </w:t>
      </w:r>
      <w:r>
        <w:rPr>
          <w:rFonts w:hint="eastAsia" w:ascii="宋体"/>
          <w:sz w:val="32"/>
          <w:szCs w:val="32"/>
          <w:highlight w:val="none"/>
        </w:rPr>
        <w:t>项目</w:t>
      </w:r>
    </w:p>
    <w:p w14:paraId="383C704F">
      <w:pPr>
        <w:rPr>
          <w:rFonts w:hint="eastAsia" w:ascii="宋体"/>
          <w:sz w:val="28"/>
          <w:szCs w:val="28"/>
          <w:highlight w:val="none"/>
        </w:rPr>
      </w:pPr>
    </w:p>
    <w:p w14:paraId="4D594FDB">
      <w:pPr>
        <w:pStyle w:val="17"/>
        <w:widowControl/>
        <w:jc w:val="center"/>
        <w:rPr>
          <w:rFonts w:ascii="宋体" w:hAnsi="宋体" w:eastAsia="宋体" w:cs="宋体"/>
          <w:sz w:val="44"/>
          <w:szCs w:val="44"/>
          <w:highlight w:val="none"/>
        </w:rPr>
      </w:pPr>
      <w:r>
        <w:rPr>
          <w:rFonts w:hint="eastAsia" w:ascii="宋体" w:hAnsi="宋体" w:eastAsia="宋体" w:cs="宋体"/>
          <w:color w:val="000000"/>
          <w:kern w:val="0"/>
          <w:sz w:val="44"/>
          <w:szCs w:val="44"/>
          <w:highlight w:val="none"/>
          <w:u w:color="000000"/>
          <w:lang w:bidi="ar"/>
        </w:rPr>
        <w:t xml:space="preserve"> </w:t>
      </w:r>
    </w:p>
    <w:p w14:paraId="7D55378D">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C649356">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191FBA8">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2EF7A75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6BB9F5AF">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1D9EC990">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56F1BE1E">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14:paraId="7D9385C9">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14:paraId="2175014E">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14:paraId="297EDAF1">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14:paraId="59C10A12">
      <w:pPr>
        <w:widowControl/>
        <w:spacing w:line="357" w:lineRule="atLeast"/>
        <w:rPr>
          <w:rFonts w:ascii="宋体" w:hAnsi="宋体" w:eastAsia="宋体" w:cs="宋体"/>
          <w:sz w:val="32"/>
          <w:szCs w:val="32"/>
          <w:highlight w:val="none"/>
          <w:u w:val="single"/>
        </w:rPr>
      </w:pPr>
    </w:p>
    <w:p w14:paraId="4183B012">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14:paraId="42062ECE">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0094A2DF">
      <w:pPr>
        <w:widowControl/>
        <w:spacing w:line="400" w:lineRule="exact"/>
        <w:ind w:firstLine="4130" w:firstLineChars="935"/>
        <w:rPr>
          <w:highlight w:val="none"/>
        </w:rPr>
      </w:pPr>
      <w:r>
        <w:rPr>
          <w:rFonts w:hint="eastAsia" w:ascii="宋体" w:hAnsi="宋体" w:eastAsia="宋体" w:cs="宋体"/>
          <w:b/>
          <w:color w:val="000000"/>
          <w:kern w:val="0"/>
          <w:sz w:val="44"/>
          <w:szCs w:val="44"/>
          <w:highlight w:val="none"/>
          <w:u w:color="000000"/>
          <w:lang w:bidi="ar"/>
        </w:rPr>
        <w:t xml:space="preserve"> </w:t>
      </w:r>
    </w:p>
    <w:p w14:paraId="52E53B6D">
      <w:pPr>
        <w:widowControl/>
        <w:spacing w:line="720" w:lineRule="auto"/>
        <w:jc w:val="center"/>
        <w:rPr>
          <w:rFonts w:ascii="宋体" w:hAnsi="宋体" w:eastAsia="宋体" w:cs="宋体"/>
          <w:b/>
          <w:sz w:val="36"/>
          <w:szCs w:val="36"/>
          <w:highlight w:val="none"/>
        </w:rPr>
      </w:pPr>
      <w:r>
        <w:rPr>
          <w:highlight w:val="none"/>
        </w:rPr>
        <w:t xml:space="preserve"> </w:t>
      </w: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14:paraId="7C8A1B31">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14:paraId="6880A098">
      <w:pPr>
        <w:widowControl/>
        <w:autoSpaceDE w:val="0"/>
        <w:spacing w:line="480" w:lineRule="auto"/>
        <w:ind w:firstLine="420" w:firstLineChars="200"/>
        <w:rPr>
          <w:rFonts w:hint="eastAsia" w:ascii="宋体" w:hAnsi="Calibri" w:eastAsia="宋体" w:cs="宋体"/>
          <w:color w:val="000000"/>
          <w:kern w:val="0"/>
          <w:szCs w:val="21"/>
          <w:highlight w:val="none"/>
          <w:u w:color="000000"/>
          <w:lang w:bidi="ar"/>
        </w:rPr>
      </w:pPr>
      <w:r>
        <w:rPr>
          <w:rFonts w:hint="eastAsia" w:ascii="宋体" w:hAnsi="Calibri" w:eastAsia="宋体" w:cs="宋体"/>
          <w:color w:val="000000"/>
          <w:kern w:val="0"/>
          <w:szCs w:val="21"/>
          <w:highlight w:val="none"/>
          <w:u w:color="000000"/>
          <w:lang w:bidi="ar"/>
        </w:rPr>
        <w:t>（1）开标一览表（格式见附件）；</w:t>
      </w:r>
    </w:p>
    <w:p w14:paraId="3C379E37">
      <w:pPr>
        <w:widowControl/>
        <w:autoSpaceDE w:val="0"/>
        <w:spacing w:line="480" w:lineRule="auto"/>
        <w:ind w:firstLine="420" w:firstLineChars="200"/>
        <w:rPr>
          <w:rFonts w:hint="eastAsia" w:ascii="宋体" w:hAnsi="Calibri" w:eastAsia="宋体" w:cs="宋体"/>
          <w:color w:val="000000"/>
          <w:kern w:val="0"/>
          <w:szCs w:val="21"/>
          <w:highlight w:val="none"/>
          <w:u w:color="000000"/>
          <w:lang w:bidi="ar"/>
        </w:rPr>
      </w:pPr>
      <w:r>
        <w:rPr>
          <w:rFonts w:hint="eastAsia" w:ascii="宋体" w:hAnsi="Calibri" w:eastAsia="宋体" w:cs="宋体"/>
          <w:color w:val="000000"/>
          <w:kern w:val="0"/>
          <w:szCs w:val="21"/>
          <w:highlight w:val="none"/>
          <w:u w:color="000000"/>
          <w:lang w:bidi="ar"/>
        </w:rPr>
        <w:t>（2）投标函（格式见附件）；</w:t>
      </w:r>
    </w:p>
    <w:p w14:paraId="75A04039">
      <w:pPr>
        <w:widowControl/>
        <w:autoSpaceDE w:val="0"/>
        <w:spacing w:line="480" w:lineRule="auto"/>
        <w:ind w:firstLine="420" w:firstLineChars="200"/>
        <w:rPr>
          <w:rFonts w:hint="eastAsia" w:ascii="宋体" w:hAnsi="Calibri" w:eastAsia="宋体" w:cs="宋体"/>
          <w:color w:val="000000"/>
          <w:kern w:val="0"/>
          <w:szCs w:val="21"/>
          <w:highlight w:val="none"/>
          <w:u w:color="000000"/>
          <w:lang w:val="en-US" w:eastAsia="zh-CN" w:bidi="ar"/>
        </w:rPr>
      </w:pPr>
      <w:r>
        <w:rPr>
          <w:rFonts w:hint="eastAsia" w:ascii="宋体" w:hAnsi="Calibri" w:eastAsia="宋体" w:cs="宋体"/>
          <w:color w:val="000000"/>
          <w:kern w:val="0"/>
          <w:szCs w:val="21"/>
          <w:highlight w:val="none"/>
          <w:u w:color="000000"/>
          <w:lang w:eastAsia="zh-CN" w:bidi="ar"/>
        </w:rPr>
        <w:t>（</w:t>
      </w:r>
      <w:r>
        <w:rPr>
          <w:rFonts w:hint="eastAsia" w:ascii="宋体" w:hAnsi="Calibri" w:eastAsia="宋体" w:cs="宋体"/>
          <w:color w:val="000000"/>
          <w:kern w:val="0"/>
          <w:szCs w:val="21"/>
          <w:highlight w:val="none"/>
          <w:u w:color="000000"/>
          <w:lang w:val="en-US" w:eastAsia="zh-CN" w:bidi="ar"/>
        </w:rPr>
        <w:t>3）分项报价清单</w:t>
      </w:r>
      <w:r>
        <w:rPr>
          <w:rFonts w:hint="eastAsia" w:ascii="宋体" w:hAnsi="Calibri" w:eastAsia="宋体" w:cs="宋体"/>
          <w:color w:val="000000"/>
          <w:kern w:val="0"/>
          <w:szCs w:val="21"/>
          <w:highlight w:val="none"/>
          <w:u w:color="000000"/>
          <w:lang w:bidi="ar"/>
        </w:rPr>
        <w:t>（格式见附件）</w:t>
      </w:r>
      <w:r>
        <w:rPr>
          <w:rFonts w:hint="eastAsia" w:ascii="宋体" w:hAnsi="Calibri" w:eastAsia="宋体" w:cs="宋体"/>
          <w:color w:val="000000"/>
          <w:kern w:val="0"/>
          <w:szCs w:val="21"/>
          <w:highlight w:val="none"/>
          <w:u w:color="000000"/>
          <w:lang w:eastAsia="zh-CN" w:bidi="ar"/>
        </w:rPr>
        <w:t>；</w:t>
      </w:r>
    </w:p>
    <w:p w14:paraId="743BCF8D">
      <w:pPr>
        <w:widowControl/>
        <w:autoSpaceDE w:val="0"/>
        <w:spacing w:line="480" w:lineRule="auto"/>
        <w:ind w:firstLine="420" w:firstLineChars="200"/>
        <w:rPr>
          <w:rFonts w:hint="eastAsia" w:ascii="宋体" w:hAnsi="Calibri" w:eastAsia="宋体" w:cs="宋体"/>
          <w:color w:val="000000"/>
          <w:kern w:val="0"/>
          <w:szCs w:val="21"/>
          <w:highlight w:val="none"/>
          <w:u w:color="000000"/>
          <w:lang w:bidi="ar"/>
        </w:rPr>
      </w:pPr>
      <w:r>
        <w:rPr>
          <w:rFonts w:hint="eastAsia" w:ascii="宋体" w:hAnsi="Calibri" w:eastAsia="宋体" w:cs="宋体"/>
          <w:color w:val="000000"/>
          <w:kern w:val="0"/>
          <w:szCs w:val="21"/>
          <w:highlight w:val="none"/>
          <w:u w:color="000000"/>
          <w:lang w:bidi="ar"/>
        </w:rPr>
        <w:t>（4）投标人认为需要提供的其他材料（如有）。</w:t>
      </w:r>
    </w:p>
    <w:p w14:paraId="7C2954D5">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14:paraId="0D792F4A">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附件1</w:t>
      </w:r>
    </w:p>
    <w:p w14:paraId="413BE42C">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14:paraId="2C09FC75">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14:paraId="7F35B794">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14:paraId="61F22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2DF3BAC">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777A79FF">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14:paraId="57B9A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33DCCBD2">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14:paraId="4F9C4C16">
            <w:pPr>
              <w:pStyle w:val="13"/>
              <w:widowControl/>
              <w:spacing w:line="460" w:lineRule="exact"/>
              <w:ind w:left="86" w:leftChars="41"/>
              <w:rPr>
                <w:rFonts w:ascii="宋体" w:eastAsia="宋体" w:cs="宋体"/>
                <w:sz w:val="24"/>
                <w:szCs w:val="24"/>
                <w:highlight w:val="none"/>
              </w:rPr>
            </w:pPr>
          </w:p>
        </w:tc>
      </w:tr>
      <w:tr w14:paraId="41DCF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1861555">
            <w:pPr>
              <w:keepNext w:val="0"/>
              <w:keepLines w:val="0"/>
              <w:widowControl/>
              <w:suppressLineNumbers w:val="0"/>
              <w:spacing w:before="0" w:beforeAutospacing="0" w:after="0" w:afterAutospacing="0" w:line="360" w:lineRule="auto"/>
              <w:ind w:left="0" w:leftChars="0" w:right="0" w:rightChars="0"/>
              <w:jc w:val="center"/>
              <w:rPr>
                <w:rFonts w:ascii="宋体" w:hAnsi="宋体" w:eastAsia="宋体" w:cs="宋体"/>
                <w:sz w:val="24"/>
                <w:highlight w:val="none"/>
              </w:rPr>
            </w:pPr>
            <w:r>
              <w:rPr>
                <w:rFonts w:hint="eastAsia" w:ascii="宋体" w:hAnsi="宋体" w:eastAsia="宋体" w:cs="宋体"/>
                <w:color w:val="000000"/>
                <w:kern w:val="2"/>
                <w:sz w:val="24"/>
                <w:szCs w:val="24"/>
                <w:highlight w:val="none"/>
                <w:u w:color="000000"/>
                <w:lang w:val="en-US" w:eastAsia="zh-CN" w:bidi="ar"/>
              </w:rPr>
              <w:t>投标报价\服务期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4B27B4B9">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0EBD8C8E">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90F132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46EB194A">
            <w:pPr>
              <w:keepNext w:val="0"/>
              <w:keepLines w:val="0"/>
              <w:widowControl/>
              <w:suppressLineNumbers w:val="0"/>
              <w:spacing w:before="0" w:beforeAutospacing="0" w:after="0" w:afterAutospacing="0" w:line="360" w:lineRule="auto"/>
              <w:ind w:left="0" w:leftChars="0" w:right="0" w:rightChars="0"/>
              <w:jc w:val="both"/>
              <w:rPr>
                <w:sz w:val="24"/>
                <w:highlight w:val="none"/>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6B93922C">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14:paraId="7A860A25">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14:paraId="44C25836">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14:paraId="55233E03">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pgNumType w:fmt="numberInDash"/>
          <w:cols w:space="425" w:num="1"/>
          <w:docGrid w:type="lines" w:linePitch="312" w:charSpace="0"/>
        </w:sectPr>
      </w:pPr>
    </w:p>
    <w:p w14:paraId="48652093">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附件2</w:t>
      </w:r>
    </w:p>
    <w:p w14:paraId="3F5ADC26">
      <w:pPr>
        <w:keepNext w:val="0"/>
        <w:keepLines w:val="0"/>
        <w:pageBreakBefore w:val="0"/>
        <w:widowControl/>
        <w:kinsoku/>
        <w:wordWrap/>
        <w:overflowPunct/>
        <w:topLinePunct w:val="0"/>
        <w:autoSpaceDE/>
        <w:autoSpaceDN/>
        <w:bidi w:val="0"/>
        <w:adjustRightInd/>
        <w:snapToGrid/>
        <w:spacing w:line="420" w:lineRule="exact"/>
        <w:ind w:firstLine="531" w:firstLineChars="147"/>
        <w:jc w:val="center"/>
        <w:textAlignment w:val="auto"/>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14:paraId="1B393A27">
      <w:pPr>
        <w:keepNext w:val="0"/>
        <w:keepLines w:val="0"/>
        <w:pageBreakBefore w:val="0"/>
        <w:widowControl/>
        <w:kinsoku/>
        <w:wordWrap/>
        <w:overflowPunct/>
        <w:topLinePunct w:val="0"/>
        <w:autoSpaceDE/>
        <w:autoSpaceDN/>
        <w:bidi w:val="0"/>
        <w:adjustRightInd/>
        <w:snapToGrid/>
        <w:spacing w:line="420" w:lineRule="exact"/>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adjustRightInd/>
        <w:snapToGrid/>
        <w:spacing w:line="420" w:lineRule="exact"/>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的投标总报价承包上述项目，并承担任何质量缺陷保修责任。</w:t>
      </w:r>
    </w:p>
    <w:p w14:paraId="3D884E81">
      <w:pPr>
        <w:keepNext w:val="0"/>
        <w:keepLines w:val="0"/>
        <w:pageBreakBefore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2、我方已详细审核全部招标文件及有关附件，承诺招标文件及有关附件中所有条款。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3、一旦我方中标，我方保证按照招标人要求完成服务。</w:t>
      </w:r>
    </w:p>
    <w:p w14:paraId="54DC143F">
      <w:pPr>
        <w:keepNext w:val="0"/>
        <w:keepLines w:val="0"/>
        <w:pageBreakBefore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162FE9F7">
      <w:pPr>
        <w:keepNext w:val="0"/>
        <w:keepLines w:val="0"/>
        <w:pageBreakBefore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5、</w:t>
      </w:r>
      <w:r>
        <w:rPr>
          <w:rFonts w:hint="eastAsia" w:ascii="宋体" w:hAnsi="宋体" w:eastAsia="宋体" w:cs="宋体"/>
          <w:color w:val="000000"/>
          <w:sz w:val="24"/>
          <w:highlight w:val="none"/>
        </w:rPr>
        <w:t>如果我方中标我方将按照招标文件的规定提交履约担保。服务期满且服务质量合格后，方可退还。</w:t>
      </w:r>
    </w:p>
    <w:p w14:paraId="1F5EDE8F">
      <w:pPr>
        <w:keepNext w:val="0"/>
        <w:keepLines w:val="0"/>
        <w:pageBreakBefore w:val="0"/>
        <w:kinsoku/>
        <w:wordWrap/>
        <w:overflowPunct/>
        <w:topLinePunct w:val="0"/>
        <w:autoSpaceDE/>
        <w:autoSpaceDN/>
        <w:bidi w:val="0"/>
        <w:adjustRightInd/>
        <w:snapToGrid/>
        <w:spacing w:line="420" w:lineRule="exact"/>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、我方承诺在招标文件规定的投标有效期内不撤销投标文件。</w:t>
      </w:r>
    </w:p>
    <w:p w14:paraId="03644199">
      <w:pPr>
        <w:keepNext w:val="0"/>
        <w:keepLines w:val="0"/>
        <w:pageBreakBefore w:val="0"/>
        <w:kinsoku/>
        <w:wordWrap/>
        <w:overflowPunct/>
        <w:topLinePunct w:val="0"/>
        <w:autoSpaceDE/>
        <w:autoSpaceDN/>
        <w:bidi w:val="0"/>
        <w:adjustRightInd/>
        <w:snapToGrid/>
        <w:spacing w:line="420" w:lineRule="exact"/>
        <w:ind w:firstLine="480" w:firstLineChars="200"/>
        <w:jc w:val="left"/>
        <w:textAlignment w:val="auto"/>
        <w:rPr>
          <w:rFonts w:ascii="宋体" w:hAnsi="宋体" w:eastAsia="宋体" w:cs="宋体"/>
          <w:sz w:val="24"/>
          <w:highlight w:val="none"/>
        </w:rPr>
      </w:pPr>
      <w:r>
        <w:rPr>
          <w:rFonts w:hint="eastAsia" w:ascii="宋体" w:hAnsi="宋体" w:eastAsia="宋体" w:cs="宋体"/>
          <w:color w:val="000000"/>
          <w:sz w:val="24"/>
          <w:highlight w:val="none"/>
          <w:lang w:val="en-US" w:eastAsia="zh-CN"/>
        </w:rPr>
        <w:t>7</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CCAE099">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0836C69B">
      <w:pPr>
        <w:rPr>
          <w:rFonts w:hint="eastAsia"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14:paraId="7015A0B7">
      <w:pPr>
        <w:widowControl/>
        <w:spacing w:line="360" w:lineRule="exact"/>
        <w:ind w:firstLine="443" w:firstLineChars="147"/>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t>附件3</w:t>
      </w:r>
    </w:p>
    <w:p w14:paraId="174BC0EE">
      <w:pPr>
        <w:jc w:val="center"/>
        <w:rPr>
          <w:rFonts w:ascii="宋体" w:hAnsi="宋体"/>
          <w:b/>
          <w:color w:val="000000"/>
          <w:sz w:val="36"/>
          <w:szCs w:val="36"/>
          <w:highlight w:val="none"/>
        </w:rPr>
      </w:pPr>
      <w:r>
        <w:rPr>
          <w:rFonts w:hint="eastAsia"/>
          <w:b/>
          <w:color w:val="000000"/>
          <w:sz w:val="28"/>
          <w:szCs w:val="28"/>
          <w:highlight w:val="none"/>
        </w:rPr>
        <w:t>分项报价清单</w:t>
      </w:r>
    </w:p>
    <w:tbl>
      <w:tblPr>
        <w:tblStyle w:val="19"/>
        <w:tblW w:w="10371" w:type="dxa"/>
        <w:tblInd w:w="-8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1"/>
        <w:gridCol w:w="1129"/>
        <w:gridCol w:w="1871"/>
        <w:gridCol w:w="956"/>
        <w:gridCol w:w="792"/>
        <w:gridCol w:w="930"/>
        <w:gridCol w:w="1037"/>
        <w:gridCol w:w="943"/>
        <w:gridCol w:w="1114"/>
        <w:gridCol w:w="828"/>
      </w:tblGrid>
      <w:tr w14:paraId="79CFD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0F12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E2A4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DB96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材质工艺</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ABB9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尺寸(M)</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51C0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面积(㎡)</w:t>
            </w:r>
          </w:p>
        </w:tc>
        <w:tc>
          <w:tcPr>
            <w:tcW w:w="10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F66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cs="宋体"/>
                <w:b/>
                <w:bCs/>
                <w:i w:val="0"/>
                <w:iCs w:val="0"/>
                <w:color w:val="000000"/>
                <w:kern w:val="0"/>
                <w:sz w:val="21"/>
                <w:szCs w:val="21"/>
                <w:highlight w:val="none"/>
                <w:u w:val="none"/>
                <w:lang w:val="en-US" w:eastAsia="zh-CN" w:bidi="ar"/>
              </w:rPr>
              <w:t>数量（个）</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FBD0">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是否</w:t>
            </w:r>
          </w:p>
          <w:p w14:paraId="062CBF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安装</w:t>
            </w:r>
          </w:p>
        </w:tc>
        <w:tc>
          <w:tcPr>
            <w:tcW w:w="1114" w:type="dxa"/>
            <w:vMerge w:val="restart"/>
            <w:tcBorders>
              <w:top w:val="single" w:color="000000" w:sz="4" w:space="0"/>
              <w:left w:val="single" w:color="000000" w:sz="4" w:space="0"/>
              <w:right w:val="single" w:color="000000" w:sz="4" w:space="0"/>
            </w:tcBorders>
            <w:shd w:val="clear" w:color="auto" w:fill="auto"/>
            <w:noWrap/>
            <w:vAlign w:val="center"/>
          </w:tcPr>
          <w:p w14:paraId="5DEFE02E">
            <w:pPr>
              <w:widowControl/>
              <w:spacing w:line="440" w:lineRule="exact"/>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color w:val="000000"/>
                <w:kern w:val="0"/>
                <w:szCs w:val="21"/>
                <w:highlight w:val="none"/>
                <w:lang w:bidi="ar"/>
              </w:rPr>
              <w:t>综合单价（元/个）</w:t>
            </w:r>
          </w:p>
        </w:tc>
        <w:tc>
          <w:tcPr>
            <w:tcW w:w="828" w:type="dxa"/>
            <w:vMerge w:val="restart"/>
            <w:tcBorders>
              <w:top w:val="single" w:color="000000" w:sz="4" w:space="0"/>
              <w:left w:val="single" w:color="000000" w:sz="4" w:space="0"/>
              <w:right w:val="single" w:color="000000" w:sz="4" w:space="0"/>
            </w:tcBorders>
            <w:shd w:val="clear" w:color="auto" w:fill="auto"/>
            <w:noWrap/>
            <w:vAlign w:val="center"/>
          </w:tcPr>
          <w:p w14:paraId="557D7E3B">
            <w:pPr>
              <w:widowControl/>
              <w:spacing w:line="440" w:lineRule="exact"/>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color w:val="000000"/>
                <w:kern w:val="0"/>
                <w:szCs w:val="21"/>
                <w:highlight w:val="none"/>
                <w:lang w:bidi="ar"/>
              </w:rPr>
              <w:t>合价（元）</w:t>
            </w:r>
          </w:p>
        </w:tc>
      </w:tr>
      <w:tr w14:paraId="1BDFC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63369">
            <w:pPr>
              <w:jc w:val="center"/>
              <w:rPr>
                <w:rFonts w:hint="eastAsia" w:ascii="宋体" w:hAnsi="宋体" w:eastAsia="宋体" w:cs="宋体"/>
                <w:b/>
                <w:bCs/>
                <w:i w:val="0"/>
                <w:iCs w:val="0"/>
                <w:color w:val="000000"/>
                <w:sz w:val="22"/>
                <w:szCs w:val="22"/>
                <w:highlight w:val="none"/>
                <w:u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7A4C7">
            <w:pPr>
              <w:jc w:val="center"/>
              <w:rPr>
                <w:rFonts w:hint="eastAsia" w:ascii="宋体" w:hAnsi="宋体" w:eastAsia="宋体" w:cs="宋体"/>
                <w:b/>
                <w:bCs/>
                <w:i w:val="0"/>
                <w:iCs w:val="0"/>
                <w:color w:val="000000"/>
                <w:sz w:val="22"/>
                <w:szCs w:val="22"/>
                <w:highlight w:val="none"/>
                <w:u w:val="none"/>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EEEB3">
            <w:pPr>
              <w:jc w:val="center"/>
              <w:rPr>
                <w:rFonts w:hint="eastAsia" w:ascii="宋体" w:hAnsi="宋体" w:eastAsia="宋体" w:cs="宋体"/>
                <w:b/>
                <w:bCs/>
                <w:i w:val="0"/>
                <w:iCs w:val="0"/>
                <w:color w:val="000000"/>
                <w:sz w:val="22"/>
                <w:szCs w:val="22"/>
                <w:highlight w:val="none"/>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398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长</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BA3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宽</w:t>
            </w: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478AC">
            <w:pPr>
              <w:jc w:val="center"/>
              <w:rPr>
                <w:rFonts w:hint="eastAsia" w:ascii="宋体" w:hAnsi="宋体" w:eastAsia="宋体" w:cs="宋体"/>
                <w:b/>
                <w:bCs/>
                <w:i w:val="0"/>
                <w:iCs w:val="0"/>
                <w:color w:val="000000"/>
                <w:sz w:val="22"/>
                <w:szCs w:val="22"/>
                <w:highlight w:val="none"/>
                <w:u w:val="none"/>
              </w:rPr>
            </w:pPr>
          </w:p>
        </w:tc>
        <w:tc>
          <w:tcPr>
            <w:tcW w:w="10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B9ED">
            <w:pPr>
              <w:jc w:val="center"/>
              <w:rPr>
                <w:rFonts w:hint="eastAsia" w:ascii="宋体" w:hAnsi="宋体" w:eastAsia="宋体" w:cs="宋体"/>
                <w:i w:val="0"/>
                <w:iCs w:val="0"/>
                <w:color w:val="000000"/>
                <w:sz w:val="22"/>
                <w:szCs w:val="22"/>
                <w:highlight w:val="none"/>
                <w:u w:val="none"/>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745E">
            <w:pPr>
              <w:jc w:val="center"/>
              <w:rPr>
                <w:rFonts w:hint="eastAsia" w:ascii="宋体" w:hAnsi="宋体" w:eastAsia="宋体" w:cs="宋体"/>
                <w:i w:val="0"/>
                <w:iCs w:val="0"/>
                <w:color w:val="000000"/>
                <w:sz w:val="22"/>
                <w:szCs w:val="22"/>
                <w:highlight w:val="none"/>
                <w:u w:val="none"/>
              </w:rPr>
            </w:pPr>
          </w:p>
        </w:tc>
        <w:tc>
          <w:tcPr>
            <w:tcW w:w="1114" w:type="dxa"/>
            <w:vMerge w:val="continue"/>
            <w:tcBorders>
              <w:left w:val="single" w:color="000000" w:sz="4" w:space="0"/>
              <w:bottom w:val="single" w:color="000000" w:sz="4" w:space="0"/>
              <w:right w:val="single" w:color="000000" w:sz="4" w:space="0"/>
            </w:tcBorders>
            <w:shd w:val="clear" w:color="auto" w:fill="auto"/>
            <w:noWrap/>
            <w:vAlign w:val="center"/>
          </w:tcPr>
          <w:p w14:paraId="4494545D">
            <w:pPr>
              <w:jc w:val="center"/>
              <w:rPr>
                <w:rFonts w:hint="eastAsia" w:ascii="宋体" w:hAnsi="宋体" w:eastAsia="宋体" w:cs="宋体"/>
                <w:i w:val="0"/>
                <w:iCs w:val="0"/>
                <w:color w:val="000000"/>
                <w:sz w:val="22"/>
                <w:szCs w:val="22"/>
                <w:highlight w:val="none"/>
                <w:u w:val="none"/>
              </w:rPr>
            </w:pPr>
          </w:p>
        </w:tc>
        <w:tc>
          <w:tcPr>
            <w:tcW w:w="828" w:type="dxa"/>
            <w:vMerge w:val="continue"/>
            <w:tcBorders>
              <w:left w:val="single" w:color="000000" w:sz="4" w:space="0"/>
              <w:bottom w:val="single" w:color="000000" w:sz="4" w:space="0"/>
              <w:right w:val="single" w:color="000000" w:sz="4" w:space="0"/>
            </w:tcBorders>
            <w:shd w:val="clear" w:color="auto" w:fill="auto"/>
            <w:noWrap/>
            <w:vAlign w:val="center"/>
          </w:tcPr>
          <w:p w14:paraId="027B8FA2">
            <w:pPr>
              <w:jc w:val="center"/>
              <w:rPr>
                <w:rFonts w:hint="eastAsia" w:ascii="宋体" w:hAnsi="宋体" w:eastAsia="宋体" w:cs="宋体"/>
                <w:i w:val="0"/>
                <w:iCs w:val="0"/>
                <w:color w:val="000000"/>
                <w:sz w:val="22"/>
                <w:szCs w:val="22"/>
                <w:highlight w:val="none"/>
                <w:u w:val="none"/>
              </w:rPr>
            </w:pPr>
          </w:p>
        </w:tc>
      </w:tr>
      <w:tr w14:paraId="397AC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61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04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制度框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0B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4cm开启式铝型材+画面</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C7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0.7</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49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03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0.7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19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EC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06B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3E18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00E9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F3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61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轨道示意图</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26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8mm厚PVC展板+画面+2mm亚克力展板倒斜边</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18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36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8F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1.4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79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81A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312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C14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66A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77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28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工作看板</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EAB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8mm厚PVC展板+画面+2mm亚克力展板倒斜边</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B6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C4D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0.9</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66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6C6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F5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3C61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FE6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2E5A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89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68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闲人免进</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9D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3C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8B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FE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0.0525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7F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223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1D2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D11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9F5B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13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0F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消火栓使用说明</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8C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15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99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33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0.1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72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9D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A25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F6D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6130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F9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32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灭火器放置点</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28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D7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67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EC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1E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7E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4A7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8854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0030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19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ED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指示灯闪烁请勿上下车</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FC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6E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F6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F90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58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84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17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7C15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C613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86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E1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润滑油非危险品</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DD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41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D7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B6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FB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6A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420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A1E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6461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35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54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严禁擅自进入轨行区</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1C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DC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1F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28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EA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4B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0F5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9D6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ACDC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135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8E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禁止攀爬警示标识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FC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F1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2F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6A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0.165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FA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5E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D611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0B5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280E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30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95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温湿度标识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B0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33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24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34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0.0152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856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E8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60B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DEE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184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48F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EED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电缆口</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C6A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7B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B9F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8B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6EB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86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C7A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BC6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39D7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E4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4F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必须戴安全帽</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F0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DA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8D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1E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C5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AD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471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A4D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8204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0EE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13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必须加锁</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72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08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6E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053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33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41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C33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DDB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E48D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6F6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34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必须戴防护眼镜</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90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41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58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B7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7C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F35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676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3BFA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AAF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15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9A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必须穿防护鞋</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0F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8D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1A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46E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70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730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42D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701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507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81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AF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必须戴防护手套</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96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68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304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58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743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24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3ED0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651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6A90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D4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8D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安全管理责任牌</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2BD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5mmPVC展板+UV画面+卡槽</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56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14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0.148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1E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0.0311</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73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88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C60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46A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F03A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66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FC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安全警示标识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80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Style w:val="54"/>
                <w:rFonts w:hint="eastAsia" w:ascii="宋体" w:hAnsi="宋体" w:eastAsia="宋体" w:cs="宋体"/>
                <w:color w:val="auto"/>
                <w:sz w:val="22"/>
                <w:szCs w:val="22"/>
                <w:highlight w:val="none"/>
                <w:lang w:val="en-US" w:eastAsia="zh-CN" w:bidi="ar"/>
              </w:rPr>
              <w:t>耐磨防滑</w:t>
            </w:r>
            <w:r>
              <w:rPr>
                <w:rStyle w:val="55"/>
                <w:rFonts w:hint="eastAsia" w:ascii="宋体" w:hAnsi="宋体" w:eastAsia="宋体" w:cs="宋体"/>
                <w:color w:val="auto"/>
                <w:sz w:val="22"/>
                <w:szCs w:val="22"/>
                <w:highlight w:val="none"/>
                <w:lang w:val="en-US" w:eastAsia="zh-CN" w:bidi="ar"/>
              </w:rPr>
              <w:t>PVC</w:t>
            </w:r>
            <w:r>
              <w:rPr>
                <w:rStyle w:val="54"/>
                <w:rFonts w:hint="eastAsia" w:ascii="宋体" w:hAnsi="宋体" w:eastAsia="宋体" w:cs="宋体"/>
                <w:color w:val="auto"/>
                <w:sz w:val="22"/>
                <w:szCs w:val="22"/>
                <w:highlight w:val="none"/>
                <w:lang w:val="en-US" w:eastAsia="zh-CN" w:bidi="ar"/>
              </w:rPr>
              <w:t>材质反光贴膜（带背胶）</w:t>
            </w:r>
            <w:r>
              <w:rPr>
                <w:rStyle w:val="55"/>
                <w:rFonts w:hint="eastAsia" w:ascii="宋体" w:hAnsi="宋体" w:eastAsia="宋体" w:cs="宋体"/>
                <w:color w:val="auto"/>
                <w:sz w:val="22"/>
                <w:szCs w:val="22"/>
                <w:highlight w:val="none"/>
                <w:lang w:val="en-US" w:eastAsia="zh-CN" w:bidi="ar"/>
              </w:rPr>
              <w:t>(</w:t>
            </w:r>
            <w:r>
              <w:rPr>
                <w:rStyle w:val="54"/>
                <w:rFonts w:hint="eastAsia" w:ascii="宋体" w:hAnsi="宋体" w:eastAsia="宋体" w:cs="宋体"/>
                <w:color w:val="auto"/>
                <w:sz w:val="22"/>
                <w:szCs w:val="22"/>
                <w:highlight w:val="none"/>
                <w:lang w:val="en-US" w:eastAsia="zh-CN" w:bidi="ar"/>
              </w:rPr>
              <w:t>室内</w:t>
            </w:r>
            <w:r>
              <w:rPr>
                <w:rStyle w:val="55"/>
                <w:rFonts w:hint="eastAsia" w:ascii="宋体" w:hAnsi="宋体" w:eastAsia="宋体" w:cs="宋体"/>
                <w:color w:val="auto"/>
                <w:sz w:val="22"/>
                <w:szCs w:val="22"/>
                <w:highlight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E2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19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13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49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42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A99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E69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5935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27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97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司机名牌</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59D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免层压PVC卡+双面</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477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0.058</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B7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36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0.0058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D46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AD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082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A54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3D9B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6F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E9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禁止合闸</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D6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2mm瓷白亚克力双面UV、吊件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D8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FB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48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0.0988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37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71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A03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5A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E2B5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70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7A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禁止分闸</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8A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2mm瓷白亚克力双面UV、吊件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B1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9F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87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0.0988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63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E7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E97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AF86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12D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DD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80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红警示胶带</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FB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PVC警示胶带</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A1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72B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AB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15.84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1CA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2C0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6AB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C02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E487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5A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BB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绿警示胶带</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1C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PVC警示胶带</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59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41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10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15.84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68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EA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5D85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4954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A4EF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E9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E7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黄警示胶带</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9B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PVC警示胶带</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2E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30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0B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15.84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9C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51C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FD6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259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42F4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B4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72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黄黑警示胶带</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26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PVC警示胶带</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25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2D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F8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15.84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4A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B91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05A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2227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0E95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82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34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当心碰头</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11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46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8C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D4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A2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B2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E8A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F4F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510E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83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01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清扫工具存放点</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DF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2mm透明亚克力背UV、背胶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FF8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8C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48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0.6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5F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99</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7FA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6A3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6E8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2764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8E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D5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消防安全重点部位</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E8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5mmPVC展板+UV画面+卡槽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E0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E5D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C3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DB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04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6B27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CF4D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A0D8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248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6D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企业文化墙、班组文化墙、党群活动室装饰</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82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8mm厚PVC展板+画面+2mm亚克力展板（按制作图样中构件的最大外轮廓尺寸（最长 × 最宽） 计算面积，不作为实际用料量核算，投标人应综合考虑损耗、裁切等因素自主报价。）</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4A2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lang w:val="en-US" w:eastAsia="zh-CN"/>
              </w:rPr>
              <w:t>按实际平方米结算</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50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200㎡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7FB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 xml:space="preserve">200 </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57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7A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D56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r>
      <w:tr w14:paraId="6C9EB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52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23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绿色地标指示贴</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E0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绿色，防水PVC材质，背面带不干胶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DA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17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FB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0C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2A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A86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533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1DCC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E3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73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节能标贴</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7B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A8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DF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28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7D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EB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E5E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1871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96B8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A5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CB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桌面定位胶布</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2C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防水PVC材质，背面带不干胶，1cm*130m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4B5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3D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EB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67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FC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7CD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136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A727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D7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B54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起点、终点标贴</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57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2C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75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80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AFC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F0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F5F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B26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A467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4"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1C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A1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圆形数字贴（红色1-60，直径7cm）</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46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EB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16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9D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C5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0E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2BD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57A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FE75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691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1E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圆形数字贴（绿色1-100，直径7cm）</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34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96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E5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138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B5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4E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CC6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68B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3A7B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DC6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CA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圆形数字贴（橙色1-100，直径7cm）</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5C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64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BF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09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96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8FE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7DB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195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2634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93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62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蓝色定位标识（3*1cm）</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9BB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防水PVC材质，背面带不干胶，磨砂蓝L型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9F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85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82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0.0003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92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8D9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293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3793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E54D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E4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02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清洁工具标识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BF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E1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DB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77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0.06237</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54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F2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795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99D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778D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B1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79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三爪吸盘摆放标识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82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D8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F7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22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0.06237</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5D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36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636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F77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9679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AE6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75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防鼠重点点位标识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52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防水PVC材质，背面带不干胶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55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923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22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0.06237</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EF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F6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043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DB4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02E8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3D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9B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禁止操作</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19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双面双色板、雕刻亚克力、吊件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7E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2B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03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F3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17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36E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2EB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D69C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3E6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EC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接地</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B7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2mm瓷白亚克力双面UV、吊件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FE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0.38</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32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17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0.0988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59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85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26E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7BC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751D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B5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8A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注意安全</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E5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2mm瓷白亚克力双面UV、吊件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18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0.38</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E2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CB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0.0988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31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72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626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D168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433A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EAA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F2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当心触电</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82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2mm瓷白亚克力双面UV、吊件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17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0.38</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39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65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0.0988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D0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ED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C243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6E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34B4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EE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0C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消防器材提示</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71D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96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56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CB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0.045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13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07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5E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6C9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DC6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17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CD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消防器材禁止挪用</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34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E2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95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B9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0.03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34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9A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246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DD5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27BA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181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61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禁止吸烟</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45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BA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EB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A6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44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4B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443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B7E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2838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638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DC5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禁止吸烟</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35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18C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29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AF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E4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58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06B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058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337E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31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89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ATO标贴</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50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249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B72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17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0.0105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B7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8B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B8D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90F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A4BD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58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8F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ATP标贴</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71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2F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D1E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DC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0.0054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E0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D3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8A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C32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7DF6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A6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96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儿童身高购票线</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2C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4C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7F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7A7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1.36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A4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2EF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365A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5DD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6AB5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2E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B5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票价表</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C2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C5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0.45</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5FD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1.44</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7A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0.648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5D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6B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A664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164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EA6E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35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B9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严禁隔栏递物</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22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彩白黑白彩</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FB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0.87</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E0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31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0.2175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C62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78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DEA1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59CA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3BF2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1D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6F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节能标贴</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E6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88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BA0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AC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8B1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C8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2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629F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6732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54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58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防汛物资临时储备点</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50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647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02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DE4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A0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EB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072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D5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A0A9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BD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C1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设备故障</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00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FA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ED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9C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03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50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8E5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2019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0551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F8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DA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巡视箭头</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88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可移除胶贴+画面+地贴保护膜（要求耐磨防滑）</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E0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97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E6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18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D6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885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62C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C1C1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1C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8A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五联禁止标识1</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C65F">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可移除透明膜+画面+保护膜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83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0.622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69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C5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0.0933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15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0A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4E5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960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4CBB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47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13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五联禁止标识2</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4E8B">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可移除透明膜+画面+保护膜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43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0.622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9C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8F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0.0933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18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55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40E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E9E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44C6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4F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11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当心缝隙组合标识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84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22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3E5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75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D22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A4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6DF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25D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206B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4F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85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当心夹手组合标识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31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C1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B7B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B0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E3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56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C80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1194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0E28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2D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E7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制动隔离阀</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CB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7D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CE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C1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C9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BD1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F70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F0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9FE1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D27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17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无障碍设施</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32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73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B4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ED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0.0168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A6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67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BB2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FD8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1529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821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4B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爱心专座标识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A0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3E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CE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43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0.044</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41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12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92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A90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F41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40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42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废物箱标识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AC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BF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51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EA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0.0072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D4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83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C38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3E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28E0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22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CA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高压联锁系统钥匙操作指南</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95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E5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FF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A6A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0.06237</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D8B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02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DC4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E9AC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6A49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FC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47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应急启动操作指南</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15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81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C5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2C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0.06237</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FA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58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C55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34AF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B663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F6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69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DB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轮椅固定器使用说明标识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AB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A25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87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0.067</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CB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0.0268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38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A3E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BF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928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6C23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C8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BC2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禁止倚靠标识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35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68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A9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1E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0.00516</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07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7F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8799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662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E915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32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D5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配电柜禁止倚靠标识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70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59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3F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1D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0.0064</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BE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FE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027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EF7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5884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2832">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6A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请勿踩踏标识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20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07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0.135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46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EF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0.00729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10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18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43E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4D8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221F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A27DA">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BB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座椅USB充电位置标识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09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02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17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84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0.00385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36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FF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3BD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17A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1451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32467">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CED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敲击点标识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7D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91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48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B2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0.011</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60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1F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70B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280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7A72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EFCB">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7E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车厢号标识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14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C8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5B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8F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0.0056</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5D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48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B6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78A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7190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A6F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A6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车厢强弱冷标识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F1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34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382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D4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98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07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9095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4B67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839F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9D7E">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C8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服务热线</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CD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EB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FB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78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0.0675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54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15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1044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94C3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5002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7960">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DA5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消防设备严禁坐踏</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B7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32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0.36</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85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22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0.054</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4CA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11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A488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B38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5849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7406">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E1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消防专用</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D5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1C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9C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F3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89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71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EE8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91C6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7C55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076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0F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库房重地非请勿入</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78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2mm进口铝板、进口油墨画面、烤漆、切割</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33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89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8A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0.0525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6F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2F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49A0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70D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F20A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9574">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8F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机房重地非请勿入</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CE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2㎜厚铝板+进口油墨画面+烤漆+切割</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CF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FE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71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4B5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84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84E7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DE4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E0BA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F0F1">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21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灭火器、消防栓</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84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2mm进口铝板、进口油墨画面、烤漆、切割、吊栏</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50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11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BF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0.072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C2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F7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D040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7BE7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DA85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0E69">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8D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防汛标识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BB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2mm铝板单面烤漆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58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3A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B2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EC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76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EC7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9A21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2F2E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F6DB">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32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应急物资</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EC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双色板UV</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60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11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7E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0.0261</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27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169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8A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B1D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6BC5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AE4F">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8A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85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双色板UV</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0E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0.6</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2E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3D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1A0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74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793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5B5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941D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6DD61">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F0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当心缝隙组合标识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72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户外车贴</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34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24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6B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383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21C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188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3068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D2A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009AF">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95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当心夹手组合标识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4F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户外车贴</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F5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5A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C4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0.033</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DE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B8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48F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BC0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2F7F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FA11">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F6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制动隔离阀</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15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户外车贴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2E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7F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B5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1B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69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7F0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D0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05E6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5933">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85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防汛物资</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6E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双色板UV</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56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45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53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0.0261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FE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B7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1F9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15A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5355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C053">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90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97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防寒物资</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C9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双色板UV</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6D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09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A5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0.0261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41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BA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9E9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C3B8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0963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04B2">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91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14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请随手关门</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81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25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7F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85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F6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29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08E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2D0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A69A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83E4A">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92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4D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列车编号</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43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透明膜UV</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1A8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21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0.105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C2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0.0462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EE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5E9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FA7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A53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507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3F4E">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93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C4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车厢编号</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99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透明膜UV</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633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0.224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30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0.07</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C7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0.01568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6C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6B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B2A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701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53DC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E95F">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94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95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USB充电标识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C6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透明膜UV</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9A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7F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0.067</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C3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0.007504</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E2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B5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AF4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E83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54C7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620E">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95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71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无线充电标识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B9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透明膜UV</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B2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0.206</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A3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0.117</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F3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0.024102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86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A1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431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9861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10A3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DB9CD">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96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35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安全锤标识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65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03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E78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0.048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D5A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0.0048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60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F3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B5A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BDE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CC74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D816">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97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76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灭火器标识2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80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26B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51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61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0.0375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2E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8F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F62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AB6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7296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1"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FD63">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98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8C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灭火器标识1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64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54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93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6B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0.0298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8A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33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A83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F952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189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BFD5A">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99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A1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安全出口标识1</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52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57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0.26</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60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0.145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9D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0.0377</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71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C0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829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5C2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67AB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C241D">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100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656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安全出口标识2</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075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C2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0.18</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3C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04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0.0198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B7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53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B1B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7AF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7698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0DD0">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101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7F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紧急解锁标识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6E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3E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57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A0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0.016</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D3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874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E15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533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1E93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1970">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102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E8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紧急开门操作标识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B2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F8E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99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3E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76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A7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5434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308E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624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9BCD">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103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06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紧急呼叫标识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9D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73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6E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72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E1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4B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B0E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F45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77E8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98D6">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104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DE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安全锤使用标识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3B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E5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5D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83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B2E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27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496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700E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39A8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96FF2">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105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29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紧急出口操作步骤</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D6B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荧光材料+画面+保护膜+可移除背胶（荧光材料需满足发光2小时要求）</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95E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0.297</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18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8D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0.12474</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41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C62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1AF5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F02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E555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3A26">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106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BE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线路图</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B1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相纸写真哑膜、倒角</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18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0.56</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83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0.355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D6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0.1988</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97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BD3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5B0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D6E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3B5A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16AE">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107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73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手机存放盒</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FD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0C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62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5B5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E6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91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9F0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6AE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5C5E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87D1">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108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D9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手机存放盒</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E9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5mm厚透明亚克力雕刻+内部隔层5mm透明亚克力切割+铰链+锁件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BE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7D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4D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5FF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20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EB2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90D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93CC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65F2">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109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06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插盒</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ED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亚克力盒子（带背胶）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9C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20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0.305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49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0.0704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3F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1B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C70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62E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FE15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BBFA">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110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E4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插盒</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7C8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亚克力盒子（带背胶）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D9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0.11</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1E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F1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0.0165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8FF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16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ED7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AE2A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D5A9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8C4F0">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111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08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无障碍设施</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0B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2mm瓷白亚克力双面UV</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11AD7">
            <w:pPr>
              <w:jc w:val="center"/>
              <w:rPr>
                <w:rFonts w:hint="eastAsia" w:ascii="宋体" w:hAnsi="宋体" w:eastAsia="宋体" w:cs="宋体"/>
                <w:i w:val="0"/>
                <w:iCs w:val="0"/>
                <w:color w:val="auto"/>
                <w:sz w:val="22"/>
                <w:szCs w:val="22"/>
                <w:highlight w:val="none"/>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C1B7">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BEE6">
            <w:pPr>
              <w:jc w:val="center"/>
              <w:rPr>
                <w:rFonts w:hint="eastAsia" w:ascii="宋体" w:hAnsi="宋体" w:eastAsia="宋体" w:cs="宋体"/>
                <w:i w:val="0"/>
                <w:iCs w:val="0"/>
                <w:color w:val="auto"/>
                <w:sz w:val="22"/>
                <w:szCs w:val="22"/>
                <w:highlight w:val="none"/>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EF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A3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ED7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976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D63E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823B">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112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D7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消防通道 非紧勿动</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A85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彩白黑白彩</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35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88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18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0.096</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65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12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2944">
            <w:pPr>
              <w:jc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E218">
            <w:pPr>
              <w:jc w:val="center"/>
              <w:rPr>
                <w:rFonts w:hint="eastAsia" w:ascii="宋体" w:hAnsi="宋体" w:eastAsia="宋体" w:cs="宋体"/>
                <w:i w:val="0"/>
                <w:iCs w:val="0"/>
                <w:color w:val="000000"/>
                <w:kern w:val="0"/>
                <w:sz w:val="22"/>
                <w:szCs w:val="22"/>
                <w:highlight w:val="none"/>
                <w:u w:val="none"/>
                <w:lang w:val="en-US" w:eastAsia="zh-CN" w:bidi="ar"/>
              </w:rPr>
            </w:pPr>
          </w:p>
        </w:tc>
      </w:tr>
      <w:tr w14:paraId="37A46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41E3">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113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35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小心楼梯提示标识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98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CD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80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4B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0B8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90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F81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CAB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FF4B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8B9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114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A4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插盒</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97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亚克力盒子（带背胶）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DE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0.405</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2F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0.305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E8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0.1235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08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2F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7D8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B6B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7CFF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5E90">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115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F2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消防泵应急操作指南</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FA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67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0.4</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FF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9F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0.1 </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3B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F454">
            <w:pPr>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DCA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426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6898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D7C31">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116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70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巡检区域</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D3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AAF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99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D7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A1A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AC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E33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1D7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E51F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C71C">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117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87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操作区域</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E7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A3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B7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37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AD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3F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970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363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1F68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D750">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118</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A4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物品存放区域</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51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D2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53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F5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48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47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E1A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E21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9381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1E848">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119</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268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设备区域</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E9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可移除胶贴+画面+保护膜</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32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C68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3A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0.1749</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1B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49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8FD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966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D79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6"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313B">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120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8B7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保护区标识牌</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0F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厚度不小0.8mm，不锈钢材质，红色字体，阴刻</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FE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0.12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C0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A7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0.0096</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CA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DE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99E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CD4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D38C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4"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F262">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121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1AC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保护区界限警示牌</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B6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3mm厚铝合金底板，表层烤漆。</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CBC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13A3">
            <w:pPr>
              <w:keepNext w:val="0"/>
              <w:keepLines w:val="0"/>
              <w:widowControl/>
              <w:suppressLineNumbers w:val="0"/>
              <w:jc w:val="center"/>
              <w:textAlignment w:val="center"/>
              <w:rPr>
                <w:highlight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40270">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kern w:val="0"/>
                <w:sz w:val="22"/>
                <w:szCs w:val="22"/>
                <w:highlight w:val="none"/>
                <w:u w:val="none"/>
                <w:lang w:val="en-US" w:eastAsia="zh-CN" w:bidi="ar"/>
              </w:rPr>
              <w:t>0.15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2E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58F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1F66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1AE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2E5C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35AB">
            <w:pPr>
              <w:keepNext w:val="0"/>
              <w:keepLines w:val="0"/>
              <w:widowControl/>
              <w:suppressLineNumbers w:val="0"/>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122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B54E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保护区界限警示牌</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E3C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3mm厚铝合金底板，表层烤漆。</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1953">
            <w:pPr>
              <w:keepNext w:val="0"/>
              <w:keepLines w:val="0"/>
              <w:widowControl/>
              <w:suppressLineNumbers w:val="0"/>
              <w:jc w:val="center"/>
              <w:textAlignment w:val="center"/>
              <w:rPr>
                <w:highlight w:val="none"/>
              </w:rPr>
            </w:pPr>
            <w:r>
              <w:rPr>
                <w:rFonts w:hint="eastAsia" w:ascii="宋体" w:hAnsi="宋体" w:eastAsia="宋体" w:cs="宋体"/>
                <w:i w:val="0"/>
                <w:iCs w:val="0"/>
                <w:color w:val="auto"/>
                <w:kern w:val="0"/>
                <w:sz w:val="22"/>
                <w:szCs w:val="22"/>
                <w:highlight w:val="none"/>
                <w:u w:val="none"/>
                <w:lang w:val="en-US" w:eastAsia="zh-CN" w:bidi="ar"/>
              </w:rPr>
              <w:t>0.5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4730">
            <w:pPr>
              <w:keepNext w:val="0"/>
              <w:keepLines w:val="0"/>
              <w:widowControl/>
              <w:suppressLineNumbers w:val="0"/>
              <w:jc w:val="center"/>
              <w:textAlignment w:val="center"/>
              <w:rPr>
                <w:highlight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B685">
            <w:pPr>
              <w:keepNext w:val="0"/>
              <w:keepLines w:val="0"/>
              <w:widowControl/>
              <w:suppressLineNumbers w:val="0"/>
              <w:jc w:val="center"/>
              <w:textAlignment w:val="center"/>
              <w:rPr>
                <w:highlight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F7C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2EC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D6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42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r>
      <w:tr w14:paraId="74FCB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64F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D7C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保护区界限警示牌</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DA0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4mm厚铝合金底板，表层烤漆。</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DE695">
            <w:pPr>
              <w:keepNext w:val="0"/>
              <w:keepLines w:val="0"/>
              <w:widowControl/>
              <w:suppressLineNumbers w:val="0"/>
              <w:jc w:val="center"/>
              <w:textAlignment w:val="center"/>
              <w:rPr>
                <w:highlight w:val="none"/>
              </w:rPr>
            </w:pPr>
            <w:r>
              <w:rPr>
                <w:rFonts w:hint="eastAsia" w:ascii="宋体" w:hAnsi="宋体" w:eastAsia="宋体" w:cs="宋体"/>
                <w:i w:val="0"/>
                <w:iCs w:val="0"/>
                <w:color w:val="auto"/>
                <w:kern w:val="0"/>
                <w:sz w:val="22"/>
                <w:szCs w:val="22"/>
                <w:highlight w:val="none"/>
                <w:u w:val="none"/>
                <w:lang w:val="en-US" w:eastAsia="zh-CN" w:bidi="ar"/>
              </w:rPr>
              <w:t>0.5</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D43A">
            <w:pPr>
              <w:keepNext w:val="0"/>
              <w:keepLines w:val="0"/>
              <w:widowControl/>
              <w:suppressLineNumbers w:val="0"/>
              <w:jc w:val="center"/>
              <w:textAlignment w:val="center"/>
              <w:rPr>
                <w:highlight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7338">
            <w:pPr>
              <w:keepNext w:val="0"/>
              <w:keepLines w:val="0"/>
              <w:widowControl/>
              <w:suppressLineNumbers w:val="0"/>
              <w:jc w:val="center"/>
              <w:textAlignment w:val="center"/>
              <w:rPr>
                <w:highlight w:val="none"/>
              </w:rPr>
            </w:pPr>
            <w:r>
              <w:rPr>
                <w:rFonts w:hint="eastAsia" w:ascii="宋体" w:hAnsi="宋体" w:eastAsia="宋体" w:cs="宋体"/>
                <w:i w:val="0"/>
                <w:iCs w:val="0"/>
                <w:color w:val="auto"/>
                <w:kern w:val="0"/>
                <w:sz w:val="22"/>
                <w:szCs w:val="22"/>
                <w:highlight w:val="none"/>
                <w:u w:val="none"/>
                <w:lang w:val="en-US" w:eastAsia="zh-CN" w:bidi="ar"/>
              </w:rPr>
              <w:t>0.15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1E7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38C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FCF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96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r>
      <w:tr w14:paraId="169C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7B2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sz w:val="22"/>
                <w:szCs w:val="22"/>
                <w:highlight w:val="none"/>
                <w:u w:val="none"/>
                <w:lang w:val="en-US" w:eastAsia="zh-CN"/>
              </w:rPr>
              <w:t>124</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682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巡检路径地面指示箭头</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5EB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绿色带背胶胶贴</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57F5F">
            <w:pPr>
              <w:keepNext w:val="0"/>
              <w:keepLines w:val="0"/>
              <w:widowControl/>
              <w:suppressLineNumbers w:val="0"/>
              <w:jc w:val="center"/>
              <w:textAlignment w:val="center"/>
              <w:rPr>
                <w:highlight w:val="none"/>
              </w:rPr>
            </w:pPr>
            <w:r>
              <w:rPr>
                <w:rFonts w:hint="eastAsia" w:ascii="宋体" w:hAnsi="宋体" w:eastAsia="宋体" w:cs="宋体"/>
                <w:i w:val="0"/>
                <w:iCs w:val="0"/>
                <w:color w:val="auto"/>
                <w:kern w:val="0"/>
                <w:sz w:val="22"/>
                <w:szCs w:val="22"/>
                <w:highlight w:val="none"/>
                <w:u w:val="none"/>
                <w:lang w:val="en-US" w:eastAsia="zh-CN" w:bidi="ar"/>
              </w:rPr>
              <w:t>箭头长 150mm,箭头头部底边宽度50mm,箭尾长度 100mm,箭尾宽度 25mm。</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FF78D">
            <w:pPr>
              <w:keepNext w:val="0"/>
              <w:keepLines w:val="0"/>
              <w:widowControl/>
              <w:suppressLineNumbers w:val="0"/>
              <w:jc w:val="center"/>
              <w:textAlignment w:val="center"/>
              <w:rPr>
                <w:highlight w:val="none"/>
              </w:rPr>
            </w:pPr>
            <w:r>
              <w:rPr>
                <w:rFonts w:hint="eastAsia" w:ascii="宋体" w:hAnsi="宋体" w:eastAsia="宋体" w:cs="宋体"/>
                <w:i w:val="0"/>
                <w:iCs w:val="0"/>
                <w:color w:val="auto"/>
                <w:sz w:val="22"/>
                <w:szCs w:val="22"/>
                <w:highlight w:val="none"/>
                <w:u w:val="none"/>
                <w:lang w:val="en-US" w:eastAsia="zh-CN"/>
              </w:rPr>
              <w:t>0.0125</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54D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3C7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61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2B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r>
      <w:tr w14:paraId="0C0DE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BBC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sz w:val="22"/>
                <w:szCs w:val="22"/>
                <w:highlight w:val="none"/>
                <w:u w:val="none"/>
                <w:lang w:val="en-US" w:eastAsia="zh-CN"/>
              </w:rPr>
              <w:t>125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4EB1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灯笼</w:t>
            </w:r>
          </w:p>
        </w:tc>
        <w:tc>
          <w:tcPr>
            <w:tcW w:w="45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DCB68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51B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711A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6D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D4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r>
      <w:tr w14:paraId="60340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003CF">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sz w:val="22"/>
                <w:szCs w:val="22"/>
                <w:highlight w:val="none"/>
                <w:u w:val="none"/>
                <w:lang w:val="en-US" w:eastAsia="zh-CN"/>
              </w:rPr>
              <w:t>126</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325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中国结</w:t>
            </w:r>
          </w:p>
        </w:tc>
        <w:tc>
          <w:tcPr>
            <w:tcW w:w="45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8D6FA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1.5线14盘</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094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745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是</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BB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A9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r>
      <w:tr w14:paraId="6E0B9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43E7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sz w:val="22"/>
                <w:szCs w:val="22"/>
                <w:highlight w:val="none"/>
                <w:u w:val="none"/>
                <w:lang w:val="en-US" w:eastAsia="zh-CN"/>
              </w:rPr>
              <w:t>127</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86A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窗花</w:t>
            </w:r>
          </w:p>
        </w:tc>
        <w:tc>
          <w:tcPr>
            <w:tcW w:w="45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71868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正常窗花大小（每包10张）</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0097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50（包）</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0C5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否</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73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1A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r>
      <w:tr w14:paraId="5AE12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644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9AE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2"/>
                <w:szCs w:val="22"/>
                <w:highlight w:val="none"/>
                <w:u w:val="none"/>
                <w:lang w:val="en-US" w:eastAsia="zh-CN" w:bidi="ar"/>
              </w:rPr>
            </w:pPr>
            <w:r>
              <w:rPr>
                <w:rFonts w:hint="eastAsia" w:asciiTheme="minorEastAsia" w:hAnsiTheme="minorEastAsia" w:cstheme="minorEastAsia"/>
                <w:i w:val="0"/>
                <w:iCs w:val="0"/>
                <w:color w:val="000000"/>
                <w:kern w:val="0"/>
                <w:sz w:val="22"/>
                <w:szCs w:val="22"/>
                <w:highlight w:val="none"/>
                <w:u w:val="none"/>
                <w:lang w:val="en-US" w:eastAsia="zh-CN" w:bidi="ar"/>
              </w:rPr>
              <w:t>总计（元）</w:t>
            </w:r>
          </w:p>
        </w:tc>
        <w:tc>
          <w:tcPr>
            <w:tcW w:w="392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DB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highlight w:val="none"/>
                <w:u w:val="none"/>
                <w:lang w:val="en-US" w:eastAsia="zh-CN" w:bidi="ar"/>
              </w:rPr>
            </w:pPr>
          </w:p>
        </w:tc>
      </w:tr>
    </w:tbl>
    <w:p w14:paraId="4CEB2E96">
      <w:pPr>
        <w:keepNext w:val="0"/>
        <w:keepLines w:val="0"/>
        <w:pageBreakBefore w:val="0"/>
        <w:widowControl w:val="0"/>
        <w:kinsoku/>
        <w:wordWrap/>
        <w:overflowPunct/>
        <w:topLinePunct w:val="0"/>
        <w:autoSpaceDE/>
        <w:autoSpaceDN/>
        <w:bidi w:val="0"/>
        <w:adjustRightInd/>
        <w:snapToGrid/>
        <w:ind w:left="-420" w:leftChars="-200" w:right="-313" w:rightChars="-149"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注：1.所有投标只能选择一种方案，单价和合价的报价只能是唯一，且须列出详细的分项报价。</w:t>
      </w:r>
    </w:p>
    <w:p w14:paraId="499E2BA5">
      <w:pPr>
        <w:keepNext w:val="0"/>
        <w:keepLines w:val="0"/>
        <w:pageBreakBefore w:val="0"/>
        <w:widowControl w:val="0"/>
        <w:kinsoku/>
        <w:wordWrap/>
        <w:overflowPunct/>
        <w:topLinePunct w:val="0"/>
        <w:autoSpaceDE/>
        <w:autoSpaceDN/>
        <w:bidi w:val="0"/>
        <w:adjustRightInd/>
        <w:snapToGrid/>
        <w:ind w:left="-420" w:leftChars="-200" w:right="-313" w:rightChars="-149"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2.投标报价采用综合单价法，综合单价包括完成本项目全部供货及服务的一切费用：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投标时投标人必须保证报价的完整性，如有漏报，则视为优惠，中标后不允许追加费用。</w:t>
      </w:r>
    </w:p>
    <w:p w14:paraId="753DD11A">
      <w:pPr>
        <w:keepNext w:val="0"/>
        <w:keepLines w:val="0"/>
        <w:pageBreakBefore w:val="0"/>
        <w:widowControl w:val="0"/>
        <w:kinsoku/>
        <w:wordWrap/>
        <w:overflowPunct/>
        <w:topLinePunct w:val="0"/>
        <w:autoSpaceDE/>
        <w:autoSpaceDN/>
        <w:bidi w:val="0"/>
        <w:adjustRightInd/>
        <w:snapToGrid/>
        <w:ind w:left="-420" w:leftChars="-200" w:right="-313" w:rightChars="-149" w:firstLine="420" w:firstLineChars="200"/>
        <w:textAlignment w:val="auto"/>
        <w:rPr>
          <w:rFonts w:hint="eastAsia" w:ascii="宋体" w:hAnsi="宋体" w:eastAsia="宋体" w:cs="宋体"/>
          <w:color w:val="000000"/>
          <w:szCs w:val="21"/>
          <w:highlight w:val="none"/>
          <w:lang w:val="zh-CN"/>
        </w:rPr>
      </w:pPr>
      <w:r>
        <w:rPr>
          <w:rFonts w:hint="eastAsia" w:ascii="宋体" w:hAnsi="宋体" w:eastAsia="宋体" w:cs="宋体"/>
          <w:color w:val="000000"/>
          <w:szCs w:val="21"/>
          <w:highlight w:val="none"/>
          <w:lang w:val="zh-CN"/>
        </w:rPr>
        <w:t>3.采购清单数量为预估数量，实际采购数量以签订合同后招标人每次下达的《订货通知单》为准，并按实结算。</w:t>
      </w:r>
    </w:p>
    <w:p w14:paraId="3BA3BC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p>
    <w:p w14:paraId="32ACDD3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3A98008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olor w:val="000000"/>
          <w:sz w:val="24"/>
          <w:highlight w:val="none"/>
        </w:rPr>
      </w:pPr>
      <w:r>
        <w:rPr>
          <w:rFonts w:hint="eastAsia" w:ascii="宋体"/>
          <w:color w:val="000000"/>
          <w:sz w:val="24"/>
          <w:highlight w:val="none"/>
        </w:rPr>
        <w:t>法定代表人 (签章)：</w:t>
      </w:r>
      <w:r>
        <w:rPr>
          <w:rFonts w:hint="eastAsia" w:ascii="宋体"/>
          <w:color w:val="000000"/>
          <w:sz w:val="24"/>
          <w:highlight w:val="none"/>
          <w:u w:val="single"/>
        </w:rPr>
        <w:t xml:space="preserve">                          </w:t>
      </w:r>
    </w:p>
    <w:p w14:paraId="0049AB9B">
      <w:pPr>
        <w:keepNext w:val="0"/>
        <w:keepLines w:val="0"/>
        <w:pageBreakBefore w:val="0"/>
        <w:widowControl w:val="0"/>
        <w:kinsoku/>
        <w:wordWrap/>
        <w:overflowPunct/>
        <w:topLinePunct w:val="0"/>
        <w:autoSpaceDE/>
        <w:autoSpaceDN/>
        <w:bidi w:val="0"/>
        <w:adjustRightInd/>
        <w:snapToGrid/>
        <w:spacing w:line="360" w:lineRule="auto"/>
        <w:ind w:left="720"/>
        <w:jc w:val="center"/>
        <w:textAlignment w:val="auto"/>
        <w:rPr>
          <w:rFonts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57F2A2DE">
      <w:pPr>
        <w:pStyle w:val="18"/>
        <w:spacing w:beforeAutospacing="0" w:afterAutospacing="0" w:line="375" w:lineRule="atLeast"/>
        <w:jc w:val="center"/>
        <w:outlineLvl w:val="0"/>
        <w:rPr>
          <w:rFonts w:hint="eastAsia" w:cs="宋体"/>
          <w:b/>
          <w:color w:val="000000"/>
          <w:kern w:val="0"/>
          <w:sz w:val="36"/>
          <w:szCs w:val="36"/>
          <w:highlight w:val="none"/>
          <w:u w:color="000000"/>
          <w:lang w:val="en-US" w:eastAsia="zh-CN" w:bidi="ar"/>
        </w:rPr>
      </w:pPr>
      <w:bookmarkStart w:id="230" w:name="_Toc6275_WPSOffice_Level1"/>
      <w:bookmarkEnd w:id="230"/>
      <w:r>
        <w:rPr>
          <w:rFonts w:hint="eastAsia" w:cs="宋体"/>
          <w:b/>
          <w:color w:val="000000"/>
          <w:kern w:val="0"/>
          <w:sz w:val="36"/>
          <w:szCs w:val="36"/>
          <w:highlight w:val="none"/>
          <w:u w:color="000000"/>
          <w:lang w:val="en-US" w:eastAsia="zh-CN" w:bidi="ar"/>
        </w:rPr>
        <w:t xml:space="preserve"> </w:t>
      </w:r>
    </w:p>
    <w:p w14:paraId="606DB766">
      <w:pPr>
        <w:rPr>
          <w:rFonts w:hint="eastAsia" w:cs="宋体"/>
          <w:b/>
          <w:color w:val="000000"/>
          <w:kern w:val="0"/>
          <w:sz w:val="36"/>
          <w:szCs w:val="36"/>
          <w:highlight w:val="none"/>
          <w:u w:color="000000"/>
          <w:lang w:val="en-US" w:eastAsia="zh-CN" w:bidi="ar"/>
        </w:rPr>
      </w:pPr>
      <w:r>
        <w:rPr>
          <w:rFonts w:hint="eastAsia" w:cs="宋体"/>
          <w:b/>
          <w:color w:val="000000"/>
          <w:kern w:val="0"/>
          <w:sz w:val="36"/>
          <w:szCs w:val="36"/>
          <w:highlight w:val="none"/>
          <w:u w:color="000000"/>
          <w:lang w:val="en-US" w:eastAsia="zh-CN" w:bidi="ar"/>
        </w:rPr>
        <w:br w:type="page"/>
      </w:r>
    </w:p>
    <w:p w14:paraId="7089DEF9">
      <w:pPr>
        <w:pStyle w:val="18"/>
        <w:spacing w:beforeAutospacing="0" w:afterAutospacing="0" w:line="375" w:lineRule="atLeast"/>
        <w:jc w:val="center"/>
        <w:outlineLvl w:val="0"/>
        <w:rPr>
          <w:rFonts w:hint="default"/>
          <w:b/>
          <w:sz w:val="32"/>
          <w:szCs w:val="32"/>
          <w:highlight w:val="none"/>
        </w:rPr>
      </w:pPr>
      <w:r>
        <w:rPr>
          <w:b/>
          <w:sz w:val="32"/>
          <w:szCs w:val="32"/>
          <w:highlight w:val="none"/>
        </w:rPr>
        <w:t>第八章  招标人、招标代理机构对本招标文件的确认</w:t>
      </w:r>
    </w:p>
    <w:tbl>
      <w:tblPr>
        <w:tblStyle w:val="19"/>
        <w:tblW w:w="8554" w:type="dxa"/>
        <w:tblInd w:w="288" w:type="dxa"/>
        <w:tblLayout w:type="fixed"/>
        <w:tblCellMar>
          <w:top w:w="0" w:type="dxa"/>
          <w:left w:w="108" w:type="dxa"/>
          <w:bottom w:w="0" w:type="dxa"/>
          <w:right w:w="108" w:type="dxa"/>
        </w:tblCellMar>
      </w:tblPr>
      <w:tblGrid>
        <w:gridCol w:w="8554"/>
      </w:tblGrid>
      <w:tr w14:paraId="33D3F793">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7EB28E64">
            <w:pPr>
              <w:widowControl/>
              <w:spacing w:line="440" w:lineRule="exact"/>
              <w:ind w:firstLine="560" w:firstLineChars="200"/>
              <w:rPr>
                <w:rFonts w:ascii="宋体" w:hAnsi="宋体" w:eastAsia="宋体" w:cs="宋体"/>
                <w:sz w:val="28"/>
                <w:szCs w:val="28"/>
                <w:highlight w:val="none"/>
              </w:rPr>
            </w:pPr>
          </w:p>
          <w:p w14:paraId="68A40633">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滁州轨道运营VI标识标牌制作安装项目（2026年—2027年）</w:t>
            </w:r>
            <w:r>
              <w:rPr>
                <w:rFonts w:hint="eastAsia" w:ascii="宋体" w:hAnsi="宋体" w:eastAsia="宋体" w:cs="宋体"/>
                <w:color w:val="000000"/>
                <w:sz w:val="28"/>
                <w:szCs w:val="28"/>
                <w:highlight w:val="none"/>
                <w:u w:color="000000"/>
                <w:lang w:bidi="ar"/>
              </w:rPr>
              <w:t>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0550-3352128</w:t>
            </w:r>
          </w:p>
          <w:p w14:paraId="46E1250F">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14:paraId="5DF6EDB6">
            <w:pPr>
              <w:widowControl/>
              <w:spacing w:line="440" w:lineRule="exact"/>
              <w:ind w:firstLine="560" w:firstLineChars="200"/>
              <w:rPr>
                <w:rFonts w:ascii="宋体" w:hAnsi="宋体" w:eastAsia="宋体" w:cs="宋体"/>
                <w:sz w:val="28"/>
                <w:szCs w:val="28"/>
                <w:highlight w:val="none"/>
              </w:rPr>
            </w:pPr>
          </w:p>
          <w:p w14:paraId="3C68BDA5">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7D3C123B">
            <w:pPr>
              <w:widowControl/>
              <w:spacing w:line="440" w:lineRule="exact"/>
              <w:ind w:firstLine="6300" w:firstLineChars="2250"/>
              <w:rPr>
                <w:rFonts w:ascii="宋体" w:hAnsi="宋体" w:eastAsia="宋体" w:cs="宋体"/>
                <w:sz w:val="28"/>
                <w:szCs w:val="28"/>
                <w:highlight w:val="none"/>
              </w:rPr>
            </w:pPr>
          </w:p>
          <w:p w14:paraId="72A7CF10">
            <w:pPr>
              <w:widowControl/>
              <w:spacing w:line="440" w:lineRule="exact"/>
              <w:ind w:firstLine="5600" w:firstLineChars="20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6</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7</w:t>
            </w:r>
            <w:r>
              <w:rPr>
                <w:rFonts w:hint="eastAsia" w:ascii="宋体" w:hAnsi="宋体" w:eastAsia="宋体" w:cs="宋体"/>
                <w:color w:val="000000"/>
                <w:sz w:val="28"/>
                <w:szCs w:val="28"/>
                <w:highlight w:val="none"/>
                <w:u w:color="000000"/>
                <w:lang w:bidi="ar"/>
              </w:rPr>
              <w:t>月</w:t>
            </w:r>
          </w:p>
          <w:p w14:paraId="50AF4884">
            <w:pPr>
              <w:widowControl/>
              <w:spacing w:line="440" w:lineRule="exact"/>
              <w:ind w:firstLine="5600" w:firstLineChars="2000"/>
              <w:rPr>
                <w:rFonts w:ascii="宋体" w:hAnsi="宋体" w:eastAsia="宋体" w:cs="宋体"/>
                <w:sz w:val="28"/>
                <w:szCs w:val="28"/>
                <w:highlight w:val="none"/>
              </w:rPr>
            </w:pPr>
          </w:p>
        </w:tc>
      </w:tr>
      <w:tr w14:paraId="4AF58520">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14:paraId="444AF2C6">
            <w:pPr>
              <w:widowControl/>
              <w:spacing w:line="440" w:lineRule="exact"/>
              <w:rPr>
                <w:rFonts w:ascii="宋体" w:hAnsi="宋体" w:eastAsia="宋体" w:cs="宋体"/>
                <w:sz w:val="28"/>
                <w:szCs w:val="28"/>
                <w:highlight w:val="none"/>
              </w:rPr>
            </w:pPr>
          </w:p>
          <w:p w14:paraId="02B7A159">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14:paraId="5585717B">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14:paraId="0244C681">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14:paraId="1A093D36">
            <w:pPr>
              <w:widowControl/>
              <w:spacing w:line="440" w:lineRule="exact"/>
              <w:ind w:firstLine="560" w:firstLineChars="200"/>
              <w:rPr>
                <w:rFonts w:ascii="宋体" w:hAnsi="宋体" w:eastAsia="宋体" w:cs="宋体"/>
                <w:sz w:val="28"/>
                <w:szCs w:val="28"/>
                <w:highlight w:val="none"/>
              </w:rPr>
            </w:pPr>
          </w:p>
          <w:p w14:paraId="509C45BA">
            <w:pPr>
              <w:pStyle w:val="5"/>
              <w:ind w:firstLine="560"/>
              <w:rPr>
                <w:kern w:val="2"/>
                <w:sz w:val="28"/>
                <w:szCs w:val="28"/>
                <w:highlight w:val="none"/>
              </w:rPr>
            </w:pPr>
          </w:p>
          <w:p w14:paraId="286D4590">
            <w:pPr>
              <w:widowControl/>
              <w:spacing w:line="357" w:lineRule="atLeast"/>
              <w:rPr>
                <w:rFonts w:ascii="宋体" w:hAnsi="宋体" w:eastAsia="宋体" w:cs="宋体"/>
                <w:highlight w:val="none"/>
              </w:rPr>
            </w:pPr>
          </w:p>
          <w:p w14:paraId="0A41F269">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14:paraId="1F1DDC9F">
            <w:pPr>
              <w:widowControl/>
              <w:spacing w:line="440" w:lineRule="exact"/>
              <w:ind w:firstLine="6300" w:firstLineChars="2250"/>
              <w:rPr>
                <w:rFonts w:ascii="宋体" w:hAnsi="宋体" w:eastAsia="宋体" w:cs="宋体"/>
                <w:sz w:val="28"/>
                <w:szCs w:val="28"/>
                <w:highlight w:val="none"/>
              </w:rPr>
            </w:pPr>
          </w:p>
          <w:p w14:paraId="231A8E3A">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w:t>
            </w:r>
            <w:r>
              <w:rPr>
                <w:rFonts w:hint="eastAsia" w:ascii="宋体" w:hAnsi="宋体" w:eastAsia="宋体" w:cs="宋体"/>
                <w:color w:val="000000"/>
                <w:sz w:val="28"/>
                <w:szCs w:val="28"/>
                <w:highlight w:val="none"/>
                <w:u w:color="000000"/>
                <w:lang w:val="en-US" w:eastAsia="zh-CN" w:bidi="ar"/>
              </w:rPr>
              <w:t>6</w:t>
            </w:r>
            <w:r>
              <w:rPr>
                <w:rFonts w:hint="eastAsia" w:ascii="宋体" w:hAnsi="宋体" w:eastAsia="宋体" w:cs="宋体"/>
                <w:color w:val="000000"/>
                <w:sz w:val="28"/>
                <w:szCs w:val="28"/>
                <w:highlight w:val="none"/>
                <w:u w:color="000000"/>
                <w:lang w:bidi="ar"/>
              </w:rPr>
              <w:t>年</w:t>
            </w:r>
            <w:r>
              <w:rPr>
                <w:rFonts w:hint="eastAsia" w:ascii="宋体" w:hAnsi="宋体" w:eastAsia="宋体" w:cs="宋体"/>
                <w:color w:val="000000"/>
                <w:sz w:val="28"/>
                <w:szCs w:val="28"/>
                <w:highlight w:val="none"/>
                <w:u w:color="000000"/>
                <w:lang w:val="en-US" w:eastAsia="zh-CN" w:bidi="ar"/>
              </w:rPr>
              <w:t>7</w:t>
            </w:r>
            <w:r>
              <w:rPr>
                <w:rFonts w:hint="eastAsia" w:ascii="宋体" w:hAnsi="宋体" w:eastAsia="宋体" w:cs="宋体"/>
                <w:color w:val="000000"/>
                <w:sz w:val="28"/>
                <w:szCs w:val="28"/>
                <w:highlight w:val="none"/>
                <w:u w:color="000000"/>
                <w:lang w:bidi="ar"/>
              </w:rPr>
              <w:t>月</w:t>
            </w:r>
          </w:p>
        </w:tc>
      </w:tr>
    </w:tbl>
    <w:p w14:paraId="0AE0C09F">
      <w:pPr>
        <w:rPr>
          <w:highlight w:val="none"/>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9C7B371-1867-48CD-894A-9ED053C7304E}"/>
  </w:font>
  <w:font w:name="黑体">
    <w:panose1 w:val="02010609060101010101"/>
    <w:charset w:val="86"/>
    <w:family w:val="auto"/>
    <w:pitch w:val="default"/>
    <w:sig w:usb0="800002BF" w:usb1="38CF7CFA" w:usb2="00000016" w:usb3="00000000" w:csb0="00040001" w:csb1="00000000"/>
    <w:embedRegular r:id="rId2" w:fontKey="{203AECCB-BB32-4D7F-B6E2-FE479220E4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25D1783-125B-4BD7-A177-F7EBD7EE6CB0}"/>
  </w:font>
  <w:font w:name="方正仿宋_GB2312">
    <w:panose1 w:val="02000000000000000000"/>
    <w:charset w:val="86"/>
    <w:family w:val="auto"/>
    <w:pitch w:val="default"/>
    <w:sig w:usb0="A00002BF" w:usb1="184F6CFA" w:usb2="00000012" w:usb3="00000000" w:csb0="00040001" w:csb1="00000000"/>
    <w:embedRegular r:id="rId4" w:fontKey="{2463CF6A-E1E2-4F4B-8087-3AB4013D5C5F}"/>
  </w:font>
  <w:font w:name="方正公文小标宋">
    <w:altName w:val="宋体"/>
    <w:panose1 w:val="02000500000000000000"/>
    <w:charset w:val="86"/>
    <w:family w:val="auto"/>
    <w:pitch w:val="default"/>
    <w:sig w:usb0="00000000" w:usb1="00000000" w:usb2="00000016" w:usb3="00000000" w:csb0="00040001" w:csb1="00000000"/>
  </w:font>
  <w:font w:name="Therese">
    <w:altName w:val="Segoe Print"/>
    <w:panose1 w:val="00000500000000000000"/>
    <w:charset w:val="00"/>
    <w:family w:val="auto"/>
    <w:pitch w:val="default"/>
    <w:sig w:usb0="00000000" w:usb1="00000000" w:usb2="00000000" w:usb3="00000000" w:csb0="00000193"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5" w:fontKey="{116A078C-C38A-4AAA-9621-1A2C6A29D61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5BB1">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7E3F1">
                          <w:pPr>
                            <w:pStyle w:val="14"/>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C7E3F1">
                    <w:pPr>
                      <w:pStyle w:val="14"/>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AC14B">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23CA3">
                          <w:pPr>
                            <w:pStyle w:val="14"/>
                          </w:pPr>
                          <w:r>
                            <w:fldChar w:fldCharType="begin"/>
                          </w:r>
                          <w:r>
                            <w:instrText xml:space="preserve"> PAGE  \* MERGEFORMAT </w:instrText>
                          </w:r>
                          <w:r>
                            <w:fldChar w:fldCharType="separate"/>
                          </w:r>
                          <w:r>
                            <w:t>- 56 -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4B23CA3">
                    <w:pPr>
                      <w:pStyle w:val="14"/>
                    </w:pPr>
                    <w:r>
                      <w:fldChar w:fldCharType="begin"/>
                    </w:r>
                    <w:r>
                      <w:instrText xml:space="preserve"> PAGE  \* MERGEFORMAT </w:instrText>
                    </w:r>
                    <w:r>
                      <w:fldChar w:fldCharType="separate"/>
                    </w:r>
                    <w:r>
                      <w:t>- 56 -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5D2EB"/>
    <w:multiLevelType w:val="singleLevel"/>
    <w:tmpl w:val="98E5D2EB"/>
    <w:lvl w:ilvl="0" w:tentative="0">
      <w:start w:val="7"/>
      <w:numFmt w:val="chineseCounting"/>
      <w:suff w:val="nothing"/>
      <w:lvlText w:val="%1、"/>
      <w:lvlJc w:val="left"/>
      <w:rPr>
        <w:rFonts w:hint="eastAsia"/>
      </w:rPr>
    </w:lvl>
  </w:abstractNum>
  <w:abstractNum w:abstractNumId="1">
    <w:nsid w:val="9A4240C8"/>
    <w:multiLevelType w:val="singleLevel"/>
    <w:tmpl w:val="9A4240C8"/>
    <w:lvl w:ilvl="0" w:tentative="0">
      <w:start w:val="4"/>
      <w:numFmt w:val="chineseCounting"/>
      <w:suff w:val="space"/>
      <w:lvlText w:val="第%1章"/>
      <w:lvlJc w:val="left"/>
      <w:rPr>
        <w:rFonts w:hint="eastAsia"/>
      </w:rPr>
    </w:lvl>
  </w:abstractNum>
  <w:abstractNum w:abstractNumId="2">
    <w:nsid w:val="F179BEA0"/>
    <w:multiLevelType w:val="singleLevel"/>
    <w:tmpl w:val="F179BEA0"/>
    <w:lvl w:ilvl="0" w:tentative="0">
      <w:start w:val="1"/>
      <w:numFmt w:val="decimal"/>
      <w:suff w:val="nothing"/>
      <w:lvlText w:val="（%1）"/>
      <w:lvlJc w:val="left"/>
    </w:lvl>
  </w:abstractNum>
  <w:abstractNum w:abstractNumId="3">
    <w:nsid w:val="723CAB90"/>
    <w:multiLevelType w:val="singleLevel"/>
    <w:tmpl w:val="723CAB90"/>
    <w:lvl w:ilvl="0" w:tentative="0">
      <w:start w:val="2"/>
      <w:numFmt w:val="decimal"/>
      <w:suff w:val="nothing"/>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1FB2094"/>
    <w:rsid w:val="06D54ED0"/>
    <w:rsid w:val="0A320D47"/>
    <w:rsid w:val="0A4E2FDB"/>
    <w:rsid w:val="0A917CCA"/>
    <w:rsid w:val="0AFF501E"/>
    <w:rsid w:val="0CEF01A1"/>
    <w:rsid w:val="0E3911D7"/>
    <w:rsid w:val="0EBB3464"/>
    <w:rsid w:val="0F5A3543"/>
    <w:rsid w:val="11273F56"/>
    <w:rsid w:val="12431559"/>
    <w:rsid w:val="13672B79"/>
    <w:rsid w:val="14102AD3"/>
    <w:rsid w:val="14334ED5"/>
    <w:rsid w:val="152C4FEB"/>
    <w:rsid w:val="158D1BF3"/>
    <w:rsid w:val="15D54F0F"/>
    <w:rsid w:val="162403C8"/>
    <w:rsid w:val="162501FC"/>
    <w:rsid w:val="165958AD"/>
    <w:rsid w:val="16C778BE"/>
    <w:rsid w:val="189A735D"/>
    <w:rsid w:val="19C2340B"/>
    <w:rsid w:val="1A2C0203"/>
    <w:rsid w:val="1A3741E7"/>
    <w:rsid w:val="1AFF1DF1"/>
    <w:rsid w:val="1B0B6A26"/>
    <w:rsid w:val="1B56742D"/>
    <w:rsid w:val="1B855F93"/>
    <w:rsid w:val="1BE83977"/>
    <w:rsid w:val="1DD7722D"/>
    <w:rsid w:val="1E452429"/>
    <w:rsid w:val="1E474369"/>
    <w:rsid w:val="1F093DEF"/>
    <w:rsid w:val="1FBE5586"/>
    <w:rsid w:val="2035457B"/>
    <w:rsid w:val="204506D8"/>
    <w:rsid w:val="20476A09"/>
    <w:rsid w:val="208257F5"/>
    <w:rsid w:val="20A467B2"/>
    <w:rsid w:val="20F63292"/>
    <w:rsid w:val="21391D2B"/>
    <w:rsid w:val="214F60AF"/>
    <w:rsid w:val="21FC6157"/>
    <w:rsid w:val="222D5B93"/>
    <w:rsid w:val="223E0729"/>
    <w:rsid w:val="22FC2884"/>
    <w:rsid w:val="2309025E"/>
    <w:rsid w:val="248654F4"/>
    <w:rsid w:val="27153B40"/>
    <w:rsid w:val="27427F5F"/>
    <w:rsid w:val="287E4991"/>
    <w:rsid w:val="29E12EF9"/>
    <w:rsid w:val="2B6D586A"/>
    <w:rsid w:val="2C1A76C8"/>
    <w:rsid w:val="2D203B77"/>
    <w:rsid w:val="2E391725"/>
    <w:rsid w:val="2E7D0093"/>
    <w:rsid w:val="2FCC0CD9"/>
    <w:rsid w:val="32F114C4"/>
    <w:rsid w:val="34033D28"/>
    <w:rsid w:val="35144896"/>
    <w:rsid w:val="35E820B0"/>
    <w:rsid w:val="379A4E56"/>
    <w:rsid w:val="39447D88"/>
    <w:rsid w:val="3A152A74"/>
    <w:rsid w:val="3C7241AD"/>
    <w:rsid w:val="3C7A25D1"/>
    <w:rsid w:val="3CE35A45"/>
    <w:rsid w:val="3D7F110E"/>
    <w:rsid w:val="3D8B68BD"/>
    <w:rsid w:val="40585B1F"/>
    <w:rsid w:val="409018AF"/>
    <w:rsid w:val="416C3F6B"/>
    <w:rsid w:val="41C76417"/>
    <w:rsid w:val="42090A0D"/>
    <w:rsid w:val="426A2148"/>
    <w:rsid w:val="42AB7679"/>
    <w:rsid w:val="440F4D94"/>
    <w:rsid w:val="44121234"/>
    <w:rsid w:val="45C02C36"/>
    <w:rsid w:val="46623AC8"/>
    <w:rsid w:val="47DC16A5"/>
    <w:rsid w:val="47E44403"/>
    <w:rsid w:val="480169C0"/>
    <w:rsid w:val="48BD5FD9"/>
    <w:rsid w:val="48C925D0"/>
    <w:rsid w:val="493A02D3"/>
    <w:rsid w:val="49560276"/>
    <w:rsid w:val="49D20DB3"/>
    <w:rsid w:val="4AA57A76"/>
    <w:rsid w:val="4B8A2C90"/>
    <w:rsid w:val="4BE25B8D"/>
    <w:rsid w:val="4C3857CB"/>
    <w:rsid w:val="4E5A23DA"/>
    <w:rsid w:val="4EE65E3A"/>
    <w:rsid w:val="4F522371"/>
    <w:rsid w:val="4FA422F6"/>
    <w:rsid w:val="4FB6476D"/>
    <w:rsid w:val="510E11AC"/>
    <w:rsid w:val="512D1C7D"/>
    <w:rsid w:val="51D84CC9"/>
    <w:rsid w:val="551453B2"/>
    <w:rsid w:val="5523352E"/>
    <w:rsid w:val="55B51F78"/>
    <w:rsid w:val="577B334F"/>
    <w:rsid w:val="5AB972A9"/>
    <w:rsid w:val="5AC41FE9"/>
    <w:rsid w:val="5D13683D"/>
    <w:rsid w:val="5D2B5019"/>
    <w:rsid w:val="5D7002D3"/>
    <w:rsid w:val="5D960B86"/>
    <w:rsid w:val="5F623DF0"/>
    <w:rsid w:val="604D11B9"/>
    <w:rsid w:val="610B63DA"/>
    <w:rsid w:val="61C100E5"/>
    <w:rsid w:val="620D32E9"/>
    <w:rsid w:val="62C47C43"/>
    <w:rsid w:val="64405B5A"/>
    <w:rsid w:val="6509245E"/>
    <w:rsid w:val="656257FB"/>
    <w:rsid w:val="66527E86"/>
    <w:rsid w:val="66791246"/>
    <w:rsid w:val="668A652A"/>
    <w:rsid w:val="68795138"/>
    <w:rsid w:val="69954A88"/>
    <w:rsid w:val="6AD42403"/>
    <w:rsid w:val="6B0C0FC3"/>
    <w:rsid w:val="6CA564FB"/>
    <w:rsid w:val="6EA934B6"/>
    <w:rsid w:val="6FEA05C0"/>
    <w:rsid w:val="706E041E"/>
    <w:rsid w:val="74C262FC"/>
    <w:rsid w:val="74E1184D"/>
    <w:rsid w:val="75843174"/>
    <w:rsid w:val="769E2541"/>
    <w:rsid w:val="76B7003F"/>
    <w:rsid w:val="771A30E5"/>
    <w:rsid w:val="77E03419"/>
    <w:rsid w:val="79757E4E"/>
    <w:rsid w:val="7A165EE4"/>
    <w:rsid w:val="7A2A6204"/>
    <w:rsid w:val="7AF5326F"/>
    <w:rsid w:val="7C6F2B16"/>
    <w:rsid w:val="7C8E2FEA"/>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3">
    <w:name w:val="toc 7"/>
    <w:basedOn w:val="1"/>
    <w:next w:val="1"/>
    <w:autoRedefine/>
    <w:qFormat/>
    <w:uiPriority w:val="39"/>
    <w:pPr>
      <w:ind w:left="1260"/>
      <w:jc w:val="left"/>
    </w:pPr>
    <w:rPr>
      <w:sz w:val="18"/>
      <w:szCs w:val="18"/>
    </w:rPr>
  </w:style>
  <w:style w:type="paragraph" w:styleId="4">
    <w:name w:val="Normal Indent"/>
    <w:basedOn w:val="1"/>
    <w:next w:val="5"/>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8"/>
    <w:link w:val="26"/>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5"/>
    <w:autoRedefine/>
    <w:qFormat/>
    <w:uiPriority w:val="0"/>
    <w:pPr>
      <w:spacing w:after="120"/>
      <w:ind w:left="420" w:leftChars="200"/>
    </w:pPr>
  </w:style>
  <w:style w:type="paragraph" w:customStyle="1" w:styleId="7">
    <w:name w:val="正文文字 8"/>
    <w:basedOn w:val="1"/>
    <w:next w:val="1"/>
    <w:autoRedefine/>
    <w:qFormat/>
    <w:uiPriority w:val="0"/>
    <w:pPr>
      <w:ind w:left="240"/>
    </w:pPr>
    <w:rPr>
      <w:sz w:val="16"/>
    </w:rPr>
  </w:style>
  <w:style w:type="paragraph" w:styleId="8">
    <w:name w:val="Body Text First Indent"/>
    <w:basedOn w:val="9"/>
    <w:autoRedefine/>
    <w:qFormat/>
    <w:uiPriority w:val="0"/>
    <w:pPr>
      <w:spacing w:after="120" w:line="240" w:lineRule="auto"/>
      <w:ind w:firstLine="420" w:firstLineChars="100"/>
    </w:pPr>
  </w:style>
  <w:style w:type="paragraph" w:styleId="9">
    <w:name w:val="Body Text"/>
    <w:basedOn w:val="1"/>
    <w:autoRedefine/>
    <w:qFormat/>
    <w:uiPriority w:val="0"/>
    <w:pPr>
      <w:snapToGrid w:val="0"/>
      <w:spacing w:line="360" w:lineRule="auto"/>
    </w:pPr>
    <w:rPr>
      <w:rFonts w:ascii="Arial" w:hAnsi="Arial" w:eastAsia="方正仿宋_GB2312"/>
      <w:sz w:val="31"/>
    </w:rPr>
  </w:style>
  <w:style w:type="paragraph" w:styleId="10">
    <w:name w:val="annotation text"/>
    <w:basedOn w:val="1"/>
    <w:autoRedefine/>
    <w:qFormat/>
    <w:uiPriority w:val="0"/>
    <w:pPr>
      <w:jc w:val="left"/>
    </w:pPr>
  </w:style>
  <w:style w:type="paragraph" w:styleId="11">
    <w:name w:val="Body Text 3"/>
    <w:basedOn w:val="1"/>
    <w:autoRedefine/>
    <w:qFormat/>
    <w:uiPriority w:val="0"/>
    <w:rPr>
      <w:rFonts w:ascii="宋体" w:hAnsi="Calibri" w:eastAsia="宋体" w:cs="Times New Roman"/>
      <w:sz w:val="24"/>
      <w:szCs w:val="20"/>
    </w:rPr>
  </w:style>
  <w:style w:type="paragraph" w:styleId="12">
    <w:name w:val="Plain Text"/>
    <w:basedOn w:val="1"/>
    <w:link w:val="30"/>
    <w:autoRedefine/>
    <w:qFormat/>
    <w:uiPriority w:val="0"/>
    <w:rPr>
      <w:rFonts w:hint="eastAsia" w:ascii="宋体" w:hAnsi="宋体" w:eastAsia="宋体" w:cs="Times New Roman"/>
      <w:szCs w:val="21"/>
    </w:rPr>
  </w:style>
  <w:style w:type="paragraph" w:styleId="13">
    <w:name w:val="Date"/>
    <w:basedOn w:val="1"/>
    <w:next w:val="1"/>
    <w:link w:val="27"/>
    <w:autoRedefine/>
    <w:qFormat/>
    <w:uiPriority w:val="0"/>
    <w:rPr>
      <w:rFonts w:ascii="Arial" w:hAnsi="Arial" w:eastAsia="方正仿宋_GB2312" w:cs="Times New Roman"/>
      <w:color w:val="000000"/>
      <w:sz w:val="32"/>
      <w:szCs w:val="32"/>
      <w:u w:color="000000"/>
    </w:rPr>
  </w:style>
  <w:style w:type="paragraph" w:styleId="14">
    <w:name w:val="footer"/>
    <w:basedOn w:val="1"/>
    <w:link w:val="31"/>
    <w:autoRedefine/>
    <w:qFormat/>
    <w:uiPriority w:val="0"/>
    <w:pPr>
      <w:tabs>
        <w:tab w:val="center" w:pos="4153"/>
        <w:tab w:val="right" w:pos="8306"/>
      </w:tabs>
      <w:snapToGrid w:val="0"/>
      <w:jc w:val="left"/>
    </w:pPr>
    <w:rPr>
      <w:sz w:val="18"/>
    </w:rPr>
  </w:style>
  <w:style w:type="paragraph" w:styleId="15">
    <w:name w:val="envelope return"/>
    <w:basedOn w:val="1"/>
    <w:next w:val="3"/>
    <w:autoRedefine/>
    <w:qFormat/>
    <w:uiPriority w:val="0"/>
    <w:pPr>
      <w:snapToGrid w:val="0"/>
    </w:pPr>
    <w:rPr>
      <w:rFonts w:ascii="Arial" w:hAnsi="Arial"/>
    </w:rPr>
  </w:style>
  <w:style w:type="paragraph" w:styleId="16">
    <w:name w:val="header"/>
    <w:basedOn w:val="1"/>
    <w:link w:val="2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List"/>
    <w:basedOn w:val="1"/>
    <w:autoRedefine/>
    <w:qFormat/>
    <w:uiPriority w:val="0"/>
    <w:pPr>
      <w:spacing w:beforeAutospacing="1" w:afterAutospacing="1"/>
      <w:ind w:left="420" w:hanging="420"/>
    </w:pPr>
    <w:rPr>
      <w:rFonts w:ascii="Arial" w:hAnsi="Arial" w:eastAsia="方正仿宋_GB2312" w:cs="Times New Roman"/>
      <w:sz w:val="28"/>
      <w:szCs w:val="28"/>
    </w:rPr>
  </w:style>
  <w:style w:type="paragraph" w:styleId="18">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style>
  <w:style w:type="character" w:styleId="23">
    <w:name w:val="Hyperlink"/>
    <w:basedOn w:val="21"/>
    <w:qFormat/>
    <w:uiPriority w:val="99"/>
    <w:rPr>
      <w:color w:val="333333"/>
      <w:u w:val="none"/>
    </w:rPr>
  </w:style>
  <w:style w:type="paragraph" w:customStyle="1" w:styleId="24">
    <w:name w:val="Default"/>
    <w:autoRedefine/>
    <w:qFormat/>
    <w:uiPriority w:val="0"/>
    <w:pPr>
      <w:widowControl w:val="0"/>
      <w:autoSpaceDE w:val="0"/>
      <w:autoSpaceDN w:val="0"/>
      <w:adjustRightInd w:val="0"/>
    </w:pPr>
    <w:rPr>
      <w:rFonts w:ascii="方正公文小标宋" w:hAnsi="Calibri" w:eastAsia="方正公文小标宋" w:cs="方正公文小标宋"/>
      <w:color w:val="000000"/>
      <w:sz w:val="24"/>
      <w:szCs w:val="24"/>
      <w:lang w:val="en-US" w:eastAsia="zh-CN" w:bidi="ar-SA"/>
    </w:rPr>
  </w:style>
  <w:style w:type="character" w:customStyle="1" w:styleId="25">
    <w:name w:val="正文文本缩进 字符"/>
    <w:basedOn w:val="21"/>
    <w:link w:val="6"/>
    <w:autoRedefine/>
    <w:qFormat/>
    <w:uiPriority w:val="0"/>
    <w:rPr>
      <w:rFonts w:hint="default" w:ascii="Times New Roman" w:hAnsi="Times New Roman" w:eastAsia="宋体" w:cs="Times New Roman"/>
      <w:color w:val="000000"/>
      <w:kern w:val="0"/>
      <w:szCs w:val="21"/>
      <w:u w:color="000000"/>
    </w:rPr>
  </w:style>
  <w:style w:type="character" w:customStyle="1" w:styleId="26">
    <w:name w:val="正文文本首行缩进 2 字符"/>
    <w:basedOn w:val="25"/>
    <w:link w:val="5"/>
    <w:autoRedefine/>
    <w:qFormat/>
    <w:uiPriority w:val="0"/>
    <w:rPr>
      <w:rFonts w:hint="default" w:ascii="Times New Roman" w:hAnsi="Times New Roman" w:eastAsia="宋体" w:cs="Times New Roman"/>
      <w:color w:val="000000"/>
      <w:kern w:val="0"/>
      <w:szCs w:val="21"/>
      <w:u w:color="000000"/>
    </w:rPr>
  </w:style>
  <w:style w:type="character" w:customStyle="1" w:styleId="27">
    <w:name w:val="日期 字符"/>
    <w:basedOn w:val="21"/>
    <w:link w:val="13"/>
    <w:autoRedefine/>
    <w:qFormat/>
    <w:uiPriority w:val="0"/>
    <w:rPr>
      <w:rFonts w:ascii="Arial" w:hAnsi="Arial" w:eastAsia="方正仿宋_GB2312" w:cs="Arial"/>
      <w:color w:val="000000"/>
      <w:sz w:val="32"/>
      <w:szCs w:val="32"/>
      <w:u w:color="000000"/>
    </w:rPr>
  </w:style>
  <w:style w:type="character" w:customStyle="1" w:styleId="28">
    <w:name w:val="标题 2 字符"/>
    <w:basedOn w:val="21"/>
    <w:link w:val="2"/>
    <w:autoRedefine/>
    <w:qFormat/>
    <w:uiPriority w:val="0"/>
    <w:rPr>
      <w:rFonts w:hint="default" w:ascii="Times New Roman" w:hAnsi="Times New Roman" w:eastAsia="宋体" w:cs="Times New Roman"/>
      <w:kern w:val="0"/>
      <w:sz w:val="24"/>
      <w:szCs w:val="24"/>
    </w:rPr>
  </w:style>
  <w:style w:type="character" w:customStyle="1" w:styleId="29">
    <w:name w:val="页眉 字符"/>
    <w:basedOn w:val="21"/>
    <w:link w:val="16"/>
    <w:autoRedefine/>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字符"/>
    <w:basedOn w:val="21"/>
    <w:link w:val="12"/>
    <w:autoRedefine/>
    <w:qFormat/>
    <w:uiPriority w:val="0"/>
    <w:rPr>
      <w:rFonts w:hint="eastAsia" w:ascii="宋体" w:hAnsi="宋体" w:eastAsia="宋体" w:cs="宋体"/>
      <w:szCs w:val="21"/>
    </w:rPr>
  </w:style>
  <w:style w:type="character" w:customStyle="1" w:styleId="31">
    <w:name w:val="页脚 字符"/>
    <w:basedOn w:val="21"/>
    <w:link w:val="14"/>
    <w:autoRedefine/>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3">
    <w:name w:val="List Paragraph"/>
    <w:basedOn w:val="1"/>
    <w:autoRedefine/>
    <w:qFormat/>
    <w:uiPriority w:val="0"/>
    <w:pPr>
      <w:ind w:firstLine="200" w:firstLineChars="200"/>
    </w:pPr>
    <w:rPr>
      <w:u w:color="000000"/>
    </w:rPr>
  </w:style>
  <w:style w:type="character" w:customStyle="1" w:styleId="34">
    <w:name w:val="NormalCharacter"/>
    <w:autoRedefine/>
    <w:semiHidden/>
    <w:qFormat/>
    <w:uiPriority w:val="0"/>
  </w:style>
  <w:style w:type="paragraph" w:customStyle="1" w:styleId="35">
    <w:name w:val="l正文"/>
    <w:autoRedefine/>
    <w:qFormat/>
    <w:uiPriority w:val="0"/>
    <w:pPr>
      <w:widowControl w:val="0"/>
      <w:spacing w:line="300" w:lineRule="auto"/>
      <w:ind w:firstLine="200" w:firstLineChars="200"/>
      <w:jc w:val="both"/>
    </w:pPr>
    <w:rPr>
      <w:rFonts w:ascii="方正仿宋_GB2312" w:hAnsi="Therese" w:eastAsia="方正仿宋_GB2312" w:cs="Times New Roman"/>
      <w:kern w:val="2"/>
      <w:sz w:val="24"/>
      <w:szCs w:val="24"/>
      <w:lang w:val="en-US" w:eastAsia="zh-CN" w:bidi="ar-SA"/>
    </w:rPr>
  </w:style>
  <w:style w:type="character" w:customStyle="1" w:styleId="36">
    <w:name w:val="font51"/>
    <w:basedOn w:val="21"/>
    <w:autoRedefine/>
    <w:qFormat/>
    <w:uiPriority w:val="0"/>
    <w:rPr>
      <w:rFonts w:hint="eastAsia" w:ascii="宋体" w:hAnsi="宋体" w:eastAsia="宋体" w:cs="宋体"/>
      <w:color w:val="000000"/>
      <w:sz w:val="22"/>
      <w:szCs w:val="22"/>
      <w:u w:val="none"/>
    </w:rPr>
  </w:style>
  <w:style w:type="character" w:customStyle="1" w:styleId="37">
    <w:name w:val="font31"/>
    <w:basedOn w:val="21"/>
    <w:autoRedefine/>
    <w:qFormat/>
    <w:uiPriority w:val="0"/>
    <w:rPr>
      <w:rFonts w:hint="default" w:ascii="Times New Roman" w:hAnsi="Times New Roman" w:cs="Times New Roman"/>
      <w:color w:val="000000"/>
      <w:sz w:val="22"/>
      <w:szCs w:val="22"/>
      <w:u w:val="none"/>
    </w:rPr>
  </w:style>
  <w:style w:type="character" w:customStyle="1" w:styleId="38">
    <w:name w:val="font61"/>
    <w:basedOn w:val="21"/>
    <w:autoRedefine/>
    <w:qFormat/>
    <w:uiPriority w:val="0"/>
    <w:rPr>
      <w:rFonts w:hint="default" w:ascii="Times New Roman" w:hAnsi="Times New Roman" w:cs="Times New Roman"/>
      <w:color w:val="000000"/>
      <w:sz w:val="21"/>
      <w:szCs w:val="21"/>
      <w:u w:val="none"/>
    </w:rPr>
  </w:style>
  <w:style w:type="character" w:customStyle="1" w:styleId="39">
    <w:name w:val="font71"/>
    <w:basedOn w:val="21"/>
    <w:autoRedefine/>
    <w:qFormat/>
    <w:uiPriority w:val="0"/>
    <w:rPr>
      <w:rFonts w:hint="eastAsia" w:ascii="宋体" w:hAnsi="宋体" w:eastAsia="宋体" w:cs="宋体"/>
      <w:color w:val="000000"/>
      <w:sz w:val="21"/>
      <w:szCs w:val="21"/>
      <w:u w:val="none"/>
    </w:rPr>
  </w:style>
  <w:style w:type="character" w:customStyle="1" w:styleId="40">
    <w:name w:val="font01"/>
    <w:basedOn w:val="21"/>
    <w:autoRedefine/>
    <w:qFormat/>
    <w:uiPriority w:val="0"/>
    <w:rPr>
      <w:rFonts w:hint="eastAsia" w:ascii="宋体" w:hAnsi="宋体" w:eastAsia="宋体" w:cs="宋体"/>
      <w:color w:val="000000"/>
      <w:sz w:val="22"/>
      <w:szCs w:val="22"/>
      <w:u w:val="none"/>
    </w:rPr>
  </w:style>
  <w:style w:type="character" w:customStyle="1" w:styleId="41">
    <w:name w:val="font11"/>
    <w:basedOn w:val="21"/>
    <w:autoRedefine/>
    <w:qFormat/>
    <w:uiPriority w:val="0"/>
    <w:rPr>
      <w:rFonts w:hint="eastAsia" w:ascii="宋体" w:hAnsi="宋体" w:eastAsia="宋体" w:cs="宋体"/>
      <w:color w:val="000000"/>
      <w:sz w:val="21"/>
      <w:szCs w:val="21"/>
      <w:u w:val="none"/>
    </w:rPr>
  </w:style>
  <w:style w:type="character" w:customStyle="1" w:styleId="42">
    <w:name w:val="font41"/>
    <w:basedOn w:val="21"/>
    <w:autoRedefine/>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autoRedefine/>
    <w:qFormat/>
    <w:uiPriority w:val="0"/>
    <w:rPr>
      <w:rFonts w:hint="eastAsia" w:eastAsia="楷体"/>
    </w:rPr>
  </w:style>
  <w:style w:type="paragraph" w:customStyle="1" w:styleId="44">
    <w:name w:val="纯文本1"/>
    <w:basedOn w:val="1"/>
    <w:autoRedefine/>
    <w:qFormat/>
    <w:uiPriority w:val="0"/>
    <w:rPr>
      <w:rFonts w:ascii="宋体" w:hAnsi="Courier New" w:cs="Courier New"/>
      <w:szCs w:val="21"/>
    </w:rPr>
  </w:style>
  <w:style w:type="paragraph" w:customStyle="1" w:styleId="45">
    <w:name w:val="正文缩进11"/>
    <w:basedOn w:val="1"/>
    <w:autoRedefine/>
    <w:qFormat/>
    <w:uiPriority w:val="0"/>
    <w:pPr>
      <w:ind w:firstLine="420"/>
    </w:pPr>
    <w:rPr>
      <w:b/>
      <w:sz w:val="24"/>
      <w:szCs w:val="20"/>
    </w:rPr>
  </w:style>
  <w:style w:type="character" w:customStyle="1" w:styleId="46">
    <w:name w:val="font101"/>
    <w:basedOn w:val="21"/>
    <w:autoRedefine/>
    <w:qFormat/>
    <w:uiPriority w:val="0"/>
    <w:rPr>
      <w:rFonts w:hint="default" w:ascii="Times New Roman" w:hAnsi="Times New Roman" w:cs="Times New Roman"/>
      <w:color w:val="000000"/>
      <w:sz w:val="22"/>
      <w:szCs w:val="22"/>
      <w:u w:val="none"/>
    </w:rPr>
  </w:style>
  <w:style w:type="character" w:customStyle="1" w:styleId="47">
    <w:name w:val="font111"/>
    <w:basedOn w:val="21"/>
    <w:autoRedefine/>
    <w:qFormat/>
    <w:uiPriority w:val="0"/>
    <w:rPr>
      <w:rFonts w:hint="eastAsia" w:ascii="宋体" w:hAnsi="宋体" w:eastAsia="宋体" w:cs="宋体"/>
      <w:color w:val="000000"/>
      <w:sz w:val="22"/>
      <w:szCs w:val="22"/>
      <w:u w:val="none"/>
    </w:rPr>
  </w:style>
  <w:style w:type="character" w:customStyle="1" w:styleId="48">
    <w:name w:val="font181"/>
    <w:basedOn w:val="21"/>
    <w:autoRedefine/>
    <w:qFormat/>
    <w:uiPriority w:val="0"/>
    <w:rPr>
      <w:rFonts w:hint="default" w:ascii="Times New Roman" w:hAnsi="Times New Roman" w:cs="Times New Roman"/>
      <w:color w:val="000000"/>
      <w:sz w:val="22"/>
      <w:szCs w:val="22"/>
      <w:u w:val="none"/>
    </w:rPr>
  </w:style>
  <w:style w:type="character" w:customStyle="1" w:styleId="49">
    <w:name w:val="font191"/>
    <w:basedOn w:val="21"/>
    <w:autoRedefine/>
    <w:qFormat/>
    <w:uiPriority w:val="0"/>
    <w:rPr>
      <w:rFonts w:hint="default" w:ascii="Times New Roman" w:hAnsi="Times New Roman" w:cs="Times New Roman"/>
      <w:color w:val="000000"/>
      <w:sz w:val="22"/>
      <w:szCs w:val="22"/>
      <w:u w:val="none"/>
    </w:rPr>
  </w:style>
  <w:style w:type="character" w:customStyle="1" w:styleId="50">
    <w:name w:val="font151"/>
    <w:basedOn w:val="21"/>
    <w:autoRedefine/>
    <w:qFormat/>
    <w:uiPriority w:val="0"/>
    <w:rPr>
      <w:rFonts w:hint="default" w:ascii="Times New Roman" w:hAnsi="Times New Roman" w:cs="Times New Roman"/>
      <w:color w:val="000000"/>
      <w:sz w:val="22"/>
      <w:szCs w:val="22"/>
      <w:u w:val="none"/>
    </w:rPr>
  </w:style>
  <w:style w:type="character" w:customStyle="1" w:styleId="51">
    <w:name w:val="font171"/>
    <w:basedOn w:val="21"/>
    <w:autoRedefine/>
    <w:qFormat/>
    <w:uiPriority w:val="0"/>
    <w:rPr>
      <w:rFonts w:hint="default" w:ascii="Calibri" w:hAnsi="Calibri" w:cs="Calibri"/>
      <w:color w:val="000000"/>
      <w:sz w:val="22"/>
      <w:szCs w:val="22"/>
      <w:u w:val="none"/>
    </w:rPr>
  </w:style>
  <w:style w:type="character" w:customStyle="1" w:styleId="52">
    <w:name w:val="font112"/>
    <w:basedOn w:val="21"/>
    <w:qFormat/>
    <w:uiPriority w:val="0"/>
    <w:rPr>
      <w:rFonts w:hint="eastAsia" w:ascii="宋体" w:hAnsi="宋体" w:eastAsia="宋体" w:cs="宋体"/>
      <w:color w:val="000000"/>
      <w:sz w:val="20"/>
      <w:szCs w:val="20"/>
      <w:u w:val="none"/>
    </w:rPr>
  </w:style>
  <w:style w:type="character" w:customStyle="1" w:styleId="53">
    <w:name w:val="font212"/>
    <w:basedOn w:val="21"/>
    <w:qFormat/>
    <w:uiPriority w:val="0"/>
    <w:rPr>
      <w:rFonts w:hint="default" w:ascii="Times New Roman" w:hAnsi="Times New Roman" w:cs="Times New Roman"/>
      <w:color w:val="000000"/>
      <w:sz w:val="20"/>
      <w:szCs w:val="20"/>
      <w:u w:val="none"/>
    </w:rPr>
  </w:style>
  <w:style w:type="character" w:customStyle="1" w:styleId="54">
    <w:name w:val="font91"/>
    <w:basedOn w:val="21"/>
    <w:qFormat/>
    <w:uiPriority w:val="0"/>
    <w:rPr>
      <w:rFonts w:hint="eastAsia" w:ascii="宋体" w:hAnsi="宋体" w:eastAsia="宋体" w:cs="宋体"/>
      <w:color w:val="000000"/>
      <w:sz w:val="20"/>
      <w:szCs w:val="20"/>
      <w:u w:val="none"/>
    </w:rPr>
  </w:style>
  <w:style w:type="character" w:customStyle="1" w:styleId="55">
    <w:name w:val="font161"/>
    <w:basedOn w:val="2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77</Pages>
  <Words>16558</Words>
  <Characters>18230</Characters>
  <Lines>384</Lines>
  <Paragraphs>108</Paragraphs>
  <TotalTime>318</TotalTime>
  <ScaleCrop>false</ScaleCrop>
  <LinksUpToDate>false</LinksUpToDate>
  <CharactersWithSpaces>18720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2026-07-27T08:10:00Z</cp:lastPrinted>
  <dcterms:modified xsi:type="dcterms:W3CDTF">2026-07-27T11:03:45Z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CD8C04D853F54791B523010CD159DBC2_13</vt:lpwstr>
  </property>
  <property fmtid="{D5CDD505-2E9C-101B-9397-08002B2CF9AE}" pid="4" name="KSOTemplateDocerSaveRecord">
    <vt:lpwstr>eyJoZGlkIjoiMTljMDcwYWJmYjExZWQzNTVmZDAzZTYwM2JlMzJmZDYiLCJ1c2VySWQiOiIzODU2Mzk2OTQifQ==</vt:lpwstr>
  </property>
</Properties>
</file>